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335" w:rsidRPr="000839D6" w:rsidRDefault="00E12335" w:rsidP="00C5669C">
      <w:pPr>
        <w:spacing w:after="0" w:line="276" w:lineRule="auto"/>
        <w:jc w:val="center"/>
        <w:rPr>
          <w:rFonts w:ascii="Book Antiqua" w:hAnsi="Book Antiqua"/>
          <w:noProof/>
          <w:sz w:val="18"/>
          <w:szCs w:val="18"/>
        </w:rPr>
      </w:pPr>
      <w:r w:rsidRPr="000839D6">
        <w:rPr>
          <w:rFonts w:ascii="Book Antiqua" w:hAnsi="Book Antiqua"/>
          <w:noProof/>
          <w:sz w:val="18"/>
          <w:szCs w:val="18"/>
        </w:rPr>
        <w:drawing>
          <wp:inline distT="0" distB="0" distL="0" distR="0" wp14:anchorId="4BE43B67" wp14:editId="0DC7B7D0">
            <wp:extent cx="1173192" cy="1263513"/>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18452" t="12137" r="13957" b="14075"/>
                    <a:stretch>
                      <a:fillRect/>
                    </a:stretch>
                  </pic:blipFill>
                  <pic:spPr bwMode="auto">
                    <a:xfrm>
                      <a:off x="0" y="0"/>
                      <a:ext cx="1174750" cy="1265191"/>
                    </a:xfrm>
                    <a:prstGeom prst="rect">
                      <a:avLst/>
                    </a:prstGeom>
                    <a:noFill/>
                    <a:ln>
                      <a:noFill/>
                    </a:ln>
                  </pic:spPr>
                </pic:pic>
              </a:graphicData>
            </a:graphic>
          </wp:inline>
        </w:drawing>
      </w:r>
    </w:p>
    <w:p w:rsidR="00E12335" w:rsidRPr="000839D6" w:rsidRDefault="00E12335" w:rsidP="00C5669C">
      <w:pPr>
        <w:spacing w:after="0" w:line="276" w:lineRule="auto"/>
        <w:jc w:val="center"/>
        <w:rPr>
          <w:rFonts w:ascii="Book Antiqua" w:hAnsi="Book Antiqua"/>
          <w:noProof/>
          <w:sz w:val="18"/>
          <w:szCs w:val="18"/>
        </w:rPr>
      </w:pPr>
    </w:p>
    <w:p w:rsidR="00E12335" w:rsidRPr="000839D6" w:rsidRDefault="00E12335" w:rsidP="00C5669C">
      <w:pPr>
        <w:spacing w:after="0" w:line="276" w:lineRule="auto"/>
        <w:jc w:val="center"/>
        <w:rPr>
          <w:rFonts w:ascii="Book Antiqua" w:hAnsi="Book Antiqua"/>
          <w:noProof/>
          <w:sz w:val="18"/>
          <w:szCs w:val="18"/>
        </w:rPr>
      </w:pPr>
    </w:p>
    <w:p w:rsidR="00E12335" w:rsidRPr="000839D6" w:rsidRDefault="00E12335" w:rsidP="00C5669C">
      <w:pPr>
        <w:spacing w:after="0" w:line="276" w:lineRule="auto"/>
        <w:jc w:val="center"/>
        <w:rPr>
          <w:rFonts w:ascii="Book Antiqua" w:hAnsi="Book Antiqua"/>
          <w:noProof/>
          <w:sz w:val="18"/>
          <w:szCs w:val="18"/>
        </w:rPr>
      </w:pPr>
    </w:p>
    <w:p w:rsidR="00E12335" w:rsidRPr="000839D6" w:rsidRDefault="00E12335" w:rsidP="00C5669C">
      <w:pPr>
        <w:spacing w:line="276" w:lineRule="auto"/>
        <w:jc w:val="center"/>
        <w:rPr>
          <w:rFonts w:ascii="Book Antiqua" w:hAnsi="Book Antiqua" w:cs="Times New Roman"/>
          <w:b/>
          <w:sz w:val="24"/>
          <w:szCs w:val="24"/>
          <w:lang w:val="en-GB"/>
        </w:rPr>
      </w:pPr>
      <w:r w:rsidRPr="000839D6">
        <w:rPr>
          <w:rFonts w:ascii="Book Antiqua" w:hAnsi="Book Antiqua" w:cs="Times New Roman"/>
          <w:b/>
          <w:sz w:val="24"/>
          <w:szCs w:val="24"/>
          <w:lang w:val="en-GB"/>
        </w:rPr>
        <w:t>NATIONAL ENVIRONMENT MANAGEMENT AUTHORITY</w:t>
      </w:r>
    </w:p>
    <w:p w:rsidR="00E12335" w:rsidRPr="00476A10" w:rsidRDefault="00E12335" w:rsidP="00476A10">
      <w:pPr>
        <w:spacing w:line="276" w:lineRule="auto"/>
        <w:jc w:val="both"/>
        <w:rPr>
          <w:rFonts w:ascii="Book Antiqua" w:hAnsi="Book Antiqua" w:cs="Times New Roman"/>
          <w:b/>
          <w:sz w:val="24"/>
          <w:szCs w:val="24"/>
          <w:lang w:val="en-GB"/>
        </w:rPr>
      </w:pPr>
    </w:p>
    <w:p w:rsidR="00C548B3" w:rsidRDefault="00C548B3" w:rsidP="00476A10">
      <w:pPr>
        <w:spacing w:line="276" w:lineRule="auto"/>
        <w:jc w:val="both"/>
        <w:rPr>
          <w:rFonts w:ascii="Book Antiqua" w:hAnsi="Book Antiqua"/>
          <w:b/>
          <w:sz w:val="24"/>
          <w:szCs w:val="24"/>
        </w:rPr>
      </w:pPr>
      <w:r>
        <w:rPr>
          <w:rFonts w:ascii="Book Antiqua" w:hAnsi="Book Antiqua"/>
          <w:b/>
          <w:sz w:val="24"/>
          <w:szCs w:val="24"/>
        </w:rPr>
        <w:t>TALKING POINTS BY THE D</w:t>
      </w:r>
      <w:r w:rsidR="00EB4716">
        <w:rPr>
          <w:rFonts w:ascii="Book Antiqua" w:hAnsi="Book Antiqua"/>
          <w:b/>
          <w:sz w:val="24"/>
          <w:szCs w:val="24"/>
        </w:rPr>
        <w:t xml:space="preserve">IRECTOR </w:t>
      </w:r>
      <w:r>
        <w:rPr>
          <w:rFonts w:ascii="Book Antiqua" w:hAnsi="Book Antiqua"/>
          <w:b/>
          <w:sz w:val="24"/>
          <w:szCs w:val="24"/>
        </w:rPr>
        <w:t>G</w:t>
      </w:r>
      <w:r w:rsidR="00EB4716">
        <w:rPr>
          <w:rFonts w:ascii="Book Antiqua" w:hAnsi="Book Antiqua"/>
          <w:b/>
          <w:sz w:val="24"/>
          <w:szCs w:val="24"/>
        </w:rPr>
        <w:t>ENERAL</w:t>
      </w:r>
      <w:bookmarkStart w:id="0" w:name="_GoBack"/>
      <w:bookmarkEnd w:id="0"/>
      <w:r>
        <w:rPr>
          <w:rFonts w:ascii="Book Antiqua" w:hAnsi="Book Antiqua"/>
          <w:b/>
          <w:sz w:val="24"/>
          <w:szCs w:val="24"/>
        </w:rPr>
        <w:t xml:space="preserve"> DURING </w:t>
      </w:r>
      <w:r w:rsidR="00C56053">
        <w:rPr>
          <w:rFonts w:ascii="Book Antiqua" w:hAnsi="Book Antiqua"/>
          <w:b/>
          <w:sz w:val="24"/>
          <w:szCs w:val="24"/>
        </w:rPr>
        <w:t>THE 7</w:t>
      </w:r>
      <w:r w:rsidR="00C56053" w:rsidRPr="00C56053">
        <w:rPr>
          <w:rFonts w:ascii="Book Antiqua" w:hAnsi="Book Antiqua"/>
          <w:b/>
          <w:sz w:val="24"/>
          <w:szCs w:val="24"/>
          <w:vertAlign w:val="superscript"/>
        </w:rPr>
        <w:t>TH</w:t>
      </w:r>
      <w:r w:rsidR="00C56053">
        <w:rPr>
          <w:rFonts w:ascii="Book Antiqua" w:hAnsi="Book Antiqua"/>
          <w:b/>
          <w:sz w:val="24"/>
          <w:szCs w:val="24"/>
        </w:rPr>
        <w:t xml:space="preserve"> EACO REGIONAL AWARENESS CONFERENCE ON SUSTAINABLE E-WASTE MANAGEMENT IN THE EAST AFRICAN REGION </w:t>
      </w:r>
    </w:p>
    <w:p w:rsidR="00C56053" w:rsidRDefault="00A802FA" w:rsidP="00D316FB">
      <w:pPr>
        <w:pStyle w:val="ListParagraph"/>
        <w:numPr>
          <w:ilvl w:val="0"/>
          <w:numId w:val="21"/>
        </w:numPr>
        <w:spacing w:line="276" w:lineRule="auto"/>
        <w:jc w:val="both"/>
        <w:rPr>
          <w:rFonts w:ascii="Book Antiqua" w:eastAsia="Calibri" w:hAnsi="Book Antiqua" w:cs="Times New Roman"/>
          <w:sz w:val="24"/>
          <w:szCs w:val="24"/>
          <w:lang w:val="en-GB"/>
        </w:rPr>
      </w:pPr>
      <w:r w:rsidRPr="00C548B3">
        <w:rPr>
          <w:rFonts w:ascii="Book Antiqua" w:eastAsia="Calibri" w:hAnsi="Book Antiqua" w:cs="Times New Roman"/>
          <w:sz w:val="24"/>
          <w:szCs w:val="24"/>
          <w:lang w:val="en-GB"/>
        </w:rPr>
        <w:t>E</w:t>
      </w:r>
      <w:r w:rsidR="008E02B6">
        <w:rPr>
          <w:rFonts w:ascii="Book Antiqua" w:eastAsia="Calibri" w:hAnsi="Book Antiqua" w:cs="Times New Roman"/>
          <w:sz w:val="24"/>
          <w:szCs w:val="24"/>
          <w:lang w:val="en-GB"/>
        </w:rPr>
        <w:t xml:space="preserve">-waste management </w:t>
      </w:r>
      <w:r w:rsidR="00C56053">
        <w:rPr>
          <w:rFonts w:ascii="Book Antiqua" w:eastAsia="Calibri" w:hAnsi="Book Antiqua" w:cs="Times New Roman"/>
          <w:sz w:val="24"/>
          <w:szCs w:val="24"/>
          <w:lang w:val="en-GB"/>
        </w:rPr>
        <w:t xml:space="preserve">is a major </w:t>
      </w:r>
      <w:r w:rsidR="008E02B6">
        <w:rPr>
          <w:rFonts w:ascii="Book Antiqua" w:eastAsia="Calibri" w:hAnsi="Book Antiqua" w:cs="Times New Roman"/>
          <w:sz w:val="24"/>
          <w:szCs w:val="24"/>
          <w:lang w:val="en-GB"/>
        </w:rPr>
        <w:t>challenge in Kenya</w:t>
      </w:r>
      <w:r w:rsidR="00D316FB">
        <w:rPr>
          <w:rFonts w:ascii="Book Antiqua" w:eastAsia="Calibri" w:hAnsi="Book Antiqua" w:cs="Times New Roman"/>
          <w:sz w:val="24"/>
          <w:szCs w:val="24"/>
          <w:lang w:val="en-GB"/>
        </w:rPr>
        <w:t xml:space="preserve">. </w:t>
      </w:r>
    </w:p>
    <w:p w:rsidR="00D316FB" w:rsidRPr="00C548B3" w:rsidRDefault="00D316FB" w:rsidP="00D316FB">
      <w:pPr>
        <w:pStyle w:val="ListParagraph"/>
        <w:numPr>
          <w:ilvl w:val="0"/>
          <w:numId w:val="21"/>
        </w:numPr>
        <w:spacing w:line="276" w:lineRule="auto"/>
        <w:jc w:val="both"/>
        <w:rPr>
          <w:rFonts w:ascii="Book Antiqua" w:eastAsia="Calibri" w:hAnsi="Book Antiqua" w:cs="Times New Roman"/>
          <w:sz w:val="24"/>
          <w:szCs w:val="24"/>
          <w:lang w:val="en-GB"/>
        </w:rPr>
      </w:pPr>
      <w:r w:rsidRPr="00C548B3">
        <w:rPr>
          <w:rFonts w:ascii="Book Antiqua" w:eastAsia="Calibri" w:hAnsi="Book Antiqua" w:cs="Times New Roman"/>
          <w:sz w:val="24"/>
          <w:szCs w:val="24"/>
          <w:lang w:val="en-GB"/>
        </w:rPr>
        <w:t xml:space="preserve">Addressing the waste management challenge effectively in Kenya is critical to delivering on Kenya’s constitutional right to a clean and healthy environment for all, advancing the circular economy to create green jobs and wealth from the waste sector, and realisation of the nation’s sustainable development goals. </w:t>
      </w:r>
    </w:p>
    <w:p w:rsidR="008E02B6" w:rsidRDefault="008E02B6" w:rsidP="00C548B3">
      <w:pPr>
        <w:pStyle w:val="ListParagraph"/>
        <w:numPr>
          <w:ilvl w:val="0"/>
          <w:numId w:val="21"/>
        </w:numPr>
        <w:spacing w:line="276" w:lineRule="auto"/>
        <w:jc w:val="both"/>
        <w:rPr>
          <w:rFonts w:ascii="Book Antiqua" w:eastAsia="Calibri" w:hAnsi="Book Antiqua" w:cs="Times New Roman"/>
          <w:sz w:val="24"/>
          <w:szCs w:val="24"/>
          <w:lang w:val="en-GB"/>
        </w:rPr>
      </w:pPr>
      <w:r>
        <w:rPr>
          <w:rFonts w:ascii="Book Antiqua" w:eastAsia="Calibri" w:hAnsi="Book Antiqua" w:cs="Times New Roman"/>
          <w:sz w:val="24"/>
          <w:szCs w:val="24"/>
          <w:lang w:val="en-GB"/>
        </w:rPr>
        <w:t>Volumes involved are not well documented but are thousands of tonnes annually.</w:t>
      </w:r>
    </w:p>
    <w:p w:rsidR="008E02B6" w:rsidRDefault="008E02B6" w:rsidP="00C548B3">
      <w:pPr>
        <w:pStyle w:val="ListParagraph"/>
        <w:numPr>
          <w:ilvl w:val="0"/>
          <w:numId w:val="21"/>
        </w:numPr>
        <w:spacing w:line="276" w:lineRule="auto"/>
        <w:jc w:val="both"/>
        <w:rPr>
          <w:rFonts w:ascii="Book Antiqua" w:eastAsia="Calibri" w:hAnsi="Book Antiqua" w:cs="Times New Roman"/>
          <w:sz w:val="24"/>
          <w:szCs w:val="24"/>
          <w:lang w:val="en-GB"/>
        </w:rPr>
      </w:pPr>
      <w:r>
        <w:rPr>
          <w:rFonts w:ascii="Book Antiqua" w:eastAsia="Calibri" w:hAnsi="Book Antiqua" w:cs="Times New Roman"/>
          <w:sz w:val="24"/>
          <w:szCs w:val="24"/>
          <w:lang w:val="en-GB"/>
        </w:rPr>
        <w:t xml:space="preserve">Point of generation of e-waste is everywhere – commercial, industrial, hospitals, homes etc. </w:t>
      </w:r>
    </w:p>
    <w:p w:rsidR="008E02B6" w:rsidRDefault="008E02B6" w:rsidP="00C548B3">
      <w:pPr>
        <w:pStyle w:val="ListParagraph"/>
        <w:numPr>
          <w:ilvl w:val="0"/>
          <w:numId w:val="21"/>
        </w:numPr>
        <w:spacing w:line="276" w:lineRule="auto"/>
        <w:jc w:val="both"/>
        <w:rPr>
          <w:rFonts w:ascii="Book Antiqua" w:eastAsia="Calibri" w:hAnsi="Book Antiqua" w:cs="Times New Roman"/>
          <w:sz w:val="24"/>
          <w:szCs w:val="24"/>
          <w:lang w:val="en-GB"/>
        </w:rPr>
      </w:pPr>
      <w:r>
        <w:rPr>
          <w:rFonts w:ascii="Book Antiqua" w:eastAsia="Calibri" w:hAnsi="Book Antiqua" w:cs="Times New Roman"/>
          <w:sz w:val="24"/>
          <w:szCs w:val="24"/>
          <w:lang w:val="en-GB"/>
        </w:rPr>
        <w:t xml:space="preserve">Only a few facilities able to extract valuables from e-waste but residual toxic waste litters our environment and dumpsites. </w:t>
      </w:r>
    </w:p>
    <w:p w:rsidR="008E02B6" w:rsidRPr="00B730E4" w:rsidRDefault="008E02B6" w:rsidP="008E02B6">
      <w:pPr>
        <w:spacing w:line="240" w:lineRule="auto"/>
        <w:jc w:val="both"/>
        <w:rPr>
          <w:rStyle w:val="BodyTextChar"/>
          <w:rFonts w:ascii="Bookman Old Style" w:hAnsi="Bookman Old Style"/>
          <w:color w:val="000000"/>
        </w:rPr>
      </w:pPr>
      <w:r w:rsidRPr="00B730E4">
        <w:rPr>
          <w:rStyle w:val="BodyTextChar"/>
          <w:rFonts w:ascii="Bookman Old Style" w:hAnsi="Bookman Old Style"/>
          <w:color w:val="000000"/>
        </w:rPr>
        <w:t>E-waste management in Kenya is guided by a number of legal and regulatory frameworks both international and local. Some of the key frameworks include:-</w:t>
      </w:r>
    </w:p>
    <w:p w:rsidR="008E02B6" w:rsidRPr="00B730E4" w:rsidRDefault="008E02B6" w:rsidP="008E02B6">
      <w:pPr>
        <w:numPr>
          <w:ilvl w:val="0"/>
          <w:numId w:val="26"/>
        </w:numPr>
        <w:spacing w:after="200" w:line="240" w:lineRule="auto"/>
        <w:jc w:val="both"/>
        <w:rPr>
          <w:rFonts w:ascii="Bookman Old Style" w:eastAsia="WenQuanYi Micro Hei" w:hAnsi="Bookman Old Style" w:cs="Lohit Devanagari"/>
          <w:color w:val="000000"/>
          <w:sz w:val="24"/>
          <w:szCs w:val="24"/>
          <w:lang w:eastAsia="zh-CN" w:bidi="hi-IN"/>
        </w:rPr>
      </w:pPr>
      <w:r w:rsidRPr="00B730E4">
        <w:rPr>
          <w:rFonts w:ascii="Bookman Old Style" w:eastAsia="WenQuanYi Micro Hei" w:hAnsi="Bookman Old Style" w:cs="Lohit Devanagari"/>
          <w:color w:val="000000"/>
          <w:sz w:val="24"/>
          <w:szCs w:val="24"/>
          <w:lang w:eastAsia="zh-CN" w:bidi="hi-IN"/>
        </w:rPr>
        <w:t>The Kenya Constitution 2010 gives the right to every Kenyan to a clean and healthy environment under Article 42. Article 69 obligates the government to eliminate any processes that degrade the environment.</w:t>
      </w:r>
    </w:p>
    <w:p w:rsidR="008E02B6" w:rsidRPr="00B730E4" w:rsidRDefault="008E02B6" w:rsidP="008E02B6">
      <w:pPr>
        <w:numPr>
          <w:ilvl w:val="0"/>
          <w:numId w:val="26"/>
        </w:numPr>
        <w:spacing w:after="200" w:line="240" w:lineRule="auto"/>
        <w:jc w:val="both"/>
        <w:rPr>
          <w:rFonts w:ascii="Bookman Old Style" w:eastAsia="WenQuanYi Micro Hei" w:hAnsi="Bookman Old Style" w:cs="Lohit Devanagari"/>
          <w:color w:val="000000"/>
          <w:sz w:val="24"/>
          <w:szCs w:val="24"/>
          <w:lang w:eastAsia="zh-CN" w:bidi="hi-IN"/>
        </w:rPr>
      </w:pPr>
      <w:r w:rsidRPr="00B730E4">
        <w:rPr>
          <w:rFonts w:ascii="Bookman Old Style" w:eastAsia="WenQuanYi Micro Hei" w:hAnsi="Bookman Old Style" w:cs="Lohit Devanagari"/>
          <w:color w:val="000000"/>
          <w:sz w:val="24"/>
          <w:szCs w:val="24"/>
          <w:lang w:eastAsia="zh-CN" w:bidi="hi-IN"/>
        </w:rPr>
        <w:t>Kenya Constitution 2010 legislates that any Convention that the Country has ratified becomes part of the national laws. Some of the international conventions regulating hazardous waste include the Basel Convention and the Bamako Convention and are therefore part of Kenyan legislation.</w:t>
      </w:r>
    </w:p>
    <w:p w:rsidR="008E02B6" w:rsidRPr="00B730E4" w:rsidRDefault="008E02B6" w:rsidP="008E02B6">
      <w:pPr>
        <w:numPr>
          <w:ilvl w:val="0"/>
          <w:numId w:val="26"/>
        </w:numPr>
        <w:spacing w:after="200" w:line="240" w:lineRule="auto"/>
        <w:jc w:val="both"/>
        <w:rPr>
          <w:rFonts w:ascii="Bookman Old Style" w:eastAsia="WenQuanYi Micro Hei" w:hAnsi="Bookman Old Style" w:cs="Lohit Devanagari"/>
          <w:color w:val="000000"/>
          <w:sz w:val="24"/>
          <w:szCs w:val="24"/>
          <w:lang w:eastAsia="zh-CN" w:bidi="hi-IN"/>
        </w:rPr>
      </w:pPr>
      <w:r w:rsidRPr="00B730E4">
        <w:rPr>
          <w:rFonts w:ascii="Bookman Old Style" w:eastAsia="WenQuanYi Micro Hei" w:hAnsi="Bookman Old Style" w:cs="Lohit Devanagari"/>
          <w:color w:val="000000"/>
          <w:sz w:val="24"/>
          <w:szCs w:val="24"/>
          <w:lang w:eastAsia="zh-CN" w:bidi="hi-IN"/>
        </w:rPr>
        <w:t>The main legislation guiding e-waste management in Kenya is the Environmental Management and Coordination Act 1999 (Revised 2015) and the Wa</w:t>
      </w:r>
      <w:r>
        <w:rPr>
          <w:rFonts w:ascii="Bookman Old Style" w:eastAsia="WenQuanYi Micro Hei" w:hAnsi="Bookman Old Style" w:cs="Lohit Devanagari"/>
          <w:color w:val="000000"/>
          <w:sz w:val="24"/>
          <w:szCs w:val="24"/>
          <w:lang w:eastAsia="zh-CN" w:bidi="hi-IN"/>
        </w:rPr>
        <w:t>ste Management Regulations (2024</w:t>
      </w:r>
      <w:r w:rsidRPr="00B730E4">
        <w:rPr>
          <w:rFonts w:ascii="Bookman Old Style" w:eastAsia="WenQuanYi Micro Hei" w:hAnsi="Bookman Old Style" w:cs="Lohit Devanagari"/>
          <w:color w:val="000000"/>
          <w:sz w:val="24"/>
          <w:szCs w:val="24"/>
          <w:lang w:eastAsia="zh-CN" w:bidi="hi-IN"/>
        </w:rPr>
        <w:t xml:space="preserve">). These laws prohibit handling, transportation and disposal of waste without valid licenses </w:t>
      </w:r>
      <w:r w:rsidRPr="00B730E4">
        <w:rPr>
          <w:rFonts w:ascii="Bookman Old Style" w:eastAsia="WenQuanYi Micro Hei" w:hAnsi="Bookman Old Style" w:cs="Lohit Devanagari"/>
          <w:color w:val="000000"/>
          <w:sz w:val="24"/>
          <w:szCs w:val="24"/>
          <w:lang w:eastAsia="zh-CN" w:bidi="hi-IN"/>
        </w:rPr>
        <w:lastRenderedPageBreak/>
        <w:t>issued by the National Management Authority (NEMA). Import of E-waste to Kenya is prohibited</w:t>
      </w:r>
    </w:p>
    <w:p w:rsidR="008E02B6" w:rsidRDefault="008E02B6" w:rsidP="008E02B6">
      <w:pPr>
        <w:numPr>
          <w:ilvl w:val="0"/>
          <w:numId w:val="26"/>
        </w:numPr>
        <w:spacing w:after="200" w:line="240" w:lineRule="auto"/>
        <w:jc w:val="both"/>
        <w:rPr>
          <w:rFonts w:ascii="Bookman Old Style" w:eastAsia="WenQuanYi Micro Hei" w:hAnsi="Bookman Old Style" w:cs="Lohit Devanagari"/>
          <w:color w:val="000000"/>
          <w:sz w:val="24"/>
          <w:szCs w:val="24"/>
          <w:lang w:eastAsia="zh-CN" w:bidi="hi-IN"/>
        </w:rPr>
      </w:pPr>
      <w:r w:rsidRPr="00B730E4">
        <w:rPr>
          <w:rFonts w:ascii="Bookman Old Style" w:eastAsia="WenQuanYi Micro Hei" w:hAnsi="Bookman Old Style" w:cs="Lohit Devanagari"/>
          <w:color w:val="000000"/>
          <w:sz w:val="24"/>
          <w:szCs w:val="24"/>
          <w:lang w:eastAsia="zh-CN" w:bidi="hi-IN"/>
        </w:rPr>
        <w:t>Section 165(2)</w:t>
      </w:r>
      <w:r>
        <w:rPr>
          <w:rFonts w:ascii="Bookman Old Style" w:eastAsia="WenQuanYi Micro Hei" w:hAnsi="Bookman Old Style" w:cs="Lohit Devanagari"/>
          <w:color w:val="000000"/>
          <w:sz w:val="24"/>
          <w:szCs w:val="24"/>
          <w:lang w:eastAsia="zh-CN" w:bidi="hi-IN"/>
        </w:rPr>
        <w:t xml:space="preserve"> of t</w:t>
      </w:r>
      <w:r w:rsidRPr="00B730E4">
        <w:rPr>
          <w:rFonts w:ascii="Bookman Old Style" w:eastAsia="WenQuanYi Micro Hei" w:hAnsi="Bookman Old Style" w:cs="Lohit Devanagari"/>
          <w:color w:val="000000"/>
          <w:sz w:val="24"/>
          <w:szCs w:val="24"/>
          <w:lang w:eastAsia="zh-CN" w:bidi="hi-IN"/>
        </w:rPr>
        <w:t xml:space="preserve">he Public Procurement and Disposal Act </w:t>
      </w:r>
      <w:r>
        <w:rPr>
          <w:rFonts w:ascii="Bookman Old Style" w:eastAsia="WenQuanYi Micro Hei" w:hAnsi="Bookman Old Style" w:cs="Lohit Devanagari"/>
          <w:color w:val="000000"/>
          <w:sz w:val="24"/>
          <w:szCs w:val="24"/>
          <w:lang w:eastAsia="zh-CN" w:bidi="hi-IN"/>
        </w:rPr>
        <w:t xml:space="preserve">directs </w:t>
      </w:r>
      <w:r w:rsidRPr="00B730E4">
        <w:rPr>
          <w:rFonts w:ascii="Bookman Old Style" w:eastAsia="WenQuanYi Micro Hei" w:hAnsi="Bookman Old Style" w:cs="Lohit Devanagari"/>
          <w:color w:val="000000"/>
          <w:sz w:val="24"/>
          <w:szCs w:val="24"/>
          <w:lang w:eastAsia="zh-CN" w:bidi="hi-IN"/>
        </w:rPr>
        <w:t xml:space="preserve">Public institutions to bond and invite competitive tenders for disposal of computers and other EEE as scrap </w:t>
      </w:r>
      <w:r>
        <w:rPr>
          <w:rFonts w:ascii="Bookman Old Style" w:eastAsia="WenQuanYi Micro Hei" w:hAnsi="Bookman Old Style" w:cs="Lohit Devanagari"/>
          <w:color w:val="000000"/>
          <w:sz w:val="24"/>
          <w:szCs w:val="24"/>
          <w:lang w:eastAsia="zh-CN" w:bidi="hi-IN"/>
        </w:rPr>
        <w:t xml:space="preserve">only from </w:t>
      </w:r>
      <w:r w:rsidRPr="00B730E4">
        <w:rPr>
          <w:rFonts w:ascii="Bookman Old Style" w:eastAsia="WenQuanYi Micro Hei" w:hAnsi="Bookman Old Style" w:cs="Lohit Devanagari"/>
          <w:color w:val="000000"/>
          <w:sz w:val="24"/>
          <w:szCs w:val="24"/>
          <w:lang w:eastAsia="zh-CN" w:bidi="hi-IN"/>
        </w:rPr>
        <w:t xml:space="preserve">players licensed to handle the respective waste as prescribed under section 88 of the Environmental Management and Co-ordination Act, 1999. </w:t>
      </w:r>
    </w:p>
    <w:p w:rsidR="008E02B6" w:rsidRPr="008C694D" w:rsidRDefault="008E02B6" w:rsidP="008E02B6">
      <w:pPr>
        <w:numPr>
          <w:ilvl w:val="0"/>
          <w:numId w:val="26"/>
        </w:numPr>
        <w:spacing w:after="200" w:line="240" w:lineRule="auto"/>
        <w:jc w:val="both"/>
        <w:rPr>
          <w:rFonts w:ascii="Bookman Old Style" w:eastAsia="WenQuanYi Micro Hei" w:hAnsi="Bookman Old Style" w:cs="Lohit Devanagari"/>
          <w:color w:val="000000"/>
          <w:sz w:val="24"/>
          <w:szCs w:val="24"/>
          <w:lang w:eastAsia="zh-CN" w:bidi="hi-IN"/>
        </w:rPr>
      </w:pPr>
      <w:r w:rsidRPr="008C694D">
        <w:rPr>
          <w:rFonts w:ascii="Bookman Old Style" w:eastAsia="WenQuanYi Micro Hei" w:hAnsi="Bookman Old Style" w:cs="Lohit Devanagari"/>
          <w:color w:val="000000"/>
          <w:sz w:val="24"/>
          <w:szCs w:val="24"/>
          <w:lang w:eastAsia="zh-CN" w:bidi="hi-IN"/>
        </w:rPr>
        <w:t xml:space="preserve">However in most cases, these licensed handlers fail to bid </w:t>
      </w:r>
      <w:r>
        <w:rPr>
          <w:rFonts w:ascii="Bookman Old Style" w:eastAsia="WenQuanYi Micro Hei" w:hAnsi="Bookman Old Style" w:cs="Lohit Devanagari"/>
          <w:color w:val="000000"/>
          <w:sz w:val="24"/>
          <w:szCs w:val="24"/>
          <w:lang w:eastAsia="zh-CN" w:bidi="hi-IN"/>
        </w:rPr>
        <w:t xml:space="preserve">and </w:t>
      </w:r>
      <w:r w:rsidRPr="008C694D">
        <w:rPr>
          <w:rFonts w:ascii="Bookman Old Style" w:eastAsia="WenQuanYi Micro Hei" w:hAnsi="Bookman Old Style" w:cs="Lohit Devanagari"/>
          <w:color w:val="000000"/>
          <w:sz w:val="24"/>
          <w:szCs w:val="24"/>
          <w:lang w:eastAsia="zh-CN" w:bidi="hi-IN"/>
        </w:rPr>
        <w:t>to purchase e-waste since they can get it freely from diverse sources. The law fails to provide further guidance in case the recyclers fail to bid for purchase of e-waste. This bureaucratic process is slow and results in huge stock of obsolete computers and other e-waste held in public institutions.</w:t>
      </w:r>
    </w:p>
    <w:p w:rsidR="008E02B6" w:rsidRPr="00B730E4" w:rsidRDefault="008E02B6" w:rsidP="008E02B6">
      <w:pPr>
        <w:numPr>
          <w:ilvl w:val="0"/>
          <w:numId w:val="26"/>
        </w:numPr>
        <w:spacing w:after="200" w:line="240" w:lineRule="auto"/>
        <w:jc w:val="both"/>
        <w:rPr>
          <w:rFonts w:ascii="Bookman Old Style" w:eastAsia="WenQuanYi Micro Hei" w:hAnsi="Bookman Old Style" w:cs="Lohit Devanagari"/>
          <w:color w:val="000000"/>
          <w:sz w:val="24"/>
          <w:szCs w:val="24"/>
          <w:lang w:eastAsia="zh-CN" w:bidi="hi-IN"/>
        </w:rPr>
      </w:pPr>
      <w:r w:rsidRPr="00B730E4">
        <w:rPr>
          <w:rFonts w:ascii="Bookman Old Style" w:eastAsia="WenQuanYi Micro Hei" w:hAnsi="Bookman Old Style" w:cs="Lohit Devanagari"/>
          <w:color w:val="000000"/>
          <w:sz w:val="24"/>
          <w:szCs w:val="24"/>
          <w:lang w:eastAsia="zh-CN" w:bidi="hi-IN"/>
        </w:rPr>
        <w:t xml:space="preserve">Kenya has just finalized an e-waste regulation under the EMCA 1999 and is now at the final stages of finalization and enactment. </w:t>
      </w:r>
      <w:r w:rsidRPr="00B730E4">
        <w:rPr>
          <w:rStyle w:val="BodyTextChar"/>
          <w:rFonts w:ascii="Bookman Old Style" w:hAnsi="Bookman Old Style"/>
          <w:color w:val="000000"/>
        </w:rPr>
        <w:t xml:space="preserve">The E-waste Regulations stipulates that the EEE producers will be responsible for their waste through the Extended Producer Responsibility (EPR) schemes. </w:t>
      </w:r>
    </w:p>
    <w:p w:rsidR="008E02B6" w:rsidRPr="00B730E4" w:rsidRDefault="008E02B6" w:rsidP="008E02B6">
      <w:pPr>
        <w:numPr>
          <w:ilvl w:val="0"/>
          <w:numId w:val="26"/>
        </w:numPr>
        <w:spacing w:after="200" w:line="240" w:lineRule="auto"/>
        <w:jc w:val="both"/>
        <w:rPr>
          <w:rFonts w:ascii="Bookman Old Style" w:eastAsia="WenQuanYi Micro Hei" w:hAnsi="Bookman Old Style" w:cs="Lohit Devanagari"/>
          <w:color w:val="000000"/>
          <w:sz w:val="24"/>
          <w:szCs w:val="24"/>
          <w:lang w:eastAsia="zh-CN" w:bidi="hi-IN"/>
        </w:rPr>
      </w:pPr>
      <w:r>
        <w:rPr>
          <w:rFonts w:ascii="Bookman Old Style" w:eastAsia="WenQuanYi Micro Hei" w:hAnsi="Bookman Old Style" w:cs="Lohit Devanagari"/>
          <w:color w:val="000000"/>
          <w:sz w:val="24"/>
          <w:szCs w:val="24"/>
          <w:lang w:eastAsia="zh-CN" w:bidi="hi-IN"/>
        </w:rPr>
        <w:t>T</w:t>
      </w:r>
      <w:r w:rsidRPr="00B730E4">
        <w:rPr>
          <w:rFonts w:ascii="Bookman Old Style" w:eastAsia="WenQuanYi Micro Hei" w:hAnsi="Bookman Old Style" w:cs="Lohit Devanagari"/>
          <w:color w:val="000000"/>
          <w:sz w:val="24"/>
          <w:szCs w:val="24"/>
          <w:lang w:eastAsia="zh-CN" w:bidi="hi-IN"/>
        </w:rPr>
        <w:t>he Extended Producer Respo</w:t>
      </w:r>
      <w:r>
        <w:rPr>
          <w:rFonts w:ascii="Bookman Old Style" w:eastAsia="WenQuanYi Micro Hei" w:hAnsi="Bookman Old Style" w:cs="Lohit Devanagari"/>
          <w:color w:val="000000"/>
          <w:sz w:val="24"/>
          <w:szCs w:val="24"/>
          <w:lang w:eastAsia="zh-CN" w:bidi="hi-IN"/>
        </w:rPr>
        <w:t>nsibility (EPR) Regulations 2024</w:t>
      </w:r>
      <w:r w:rsidRPr="00B730E4">
        <w:rPr>
          <w:rFonts w:ascii="Bookman Old Style" w:eastAsia="WenQuanYi Micro Hei" w:hAnsi="Bookman Old Style" w:cs="Lohit Devanagari"/>
          <w:color w:val="000000"/>
          <w:sz w:val="24"/>
          <w:szCs w:val="24"/>
          <w:lang w:eastAsia="zh-CN" w:bidi="hi-IN"/>
        </w:rPr>
        <w:t xml:space="preserve"> identify e-waste as one of the products subject to EPR. The producers of Electrical and Electronic Equipment (EEE) </w:t>
      </w:r>
      <w:r>
        <w:rPr>
          <w:rFonts w:ascii="Bookman Old Style" w:eastAsia="WenQuanYi Micro Hei" w:hAnsi="Bookman Old Style" w:cs="Lohit Devanagari"/>
          <w:color w:val="000000"/>
          <w:sz w:val="24"/>
          <w:szCs w:val="24"/>
          <w:lang w:eastAsia="zh-CN" w:bidi="hi-IN"/>
        </w:rPr>
        <w:t xml:space="preserve">are expected to register with NEMA as well as </w:t>
      </w:r>
      <w:r w:rsidRPr="00B730E4">
        <w:rPr>
          <w:rFonts w:ascii="Bookman Old Style" w:eastAsia="WenQuanYi Micro Hei" w:hAnsi="Bookman Old Style" w:cs="Lohit Devanagari"/>
          <w:color w:val="000000"/>
          <w:sz w:val="24"/>
          <w:szCs w:val="24"/>
          <w:lang w:eastAsia="zh-CN" w:bidi="hi-IN"/>
        </w:rPr>
        <w:t>establish or join a Producer Responsibility Organization as shareholders and operationalize an EPR Scheme collectively.  </w:t>
      </w:r>
    </w:p>
    <w:p w:rsidR="008E02B6" w:rsidRPr="00294BA0" w:rsidRDefault="008E02B6" w:rsidP="008E02B6">
      <w:pPr>
        <w:numPr>
          <w:ilvl w:val="0"/>
          <w:numId w:val="26"/>
        </w:numPr>
        <w:spacing w:after="200" w:line="240" w:lineRule="auto"/>
        <w:jc w:val="both"/>
        <w:rPr>
          <w:rFonts w:ascii="Bookman Old Style" w:eastAsia="WenQuanYi Micro Hei" w:hAnsi="Bookman Old Style" w:cs="Lohit Devanagari"/>
          <w:color w:val="000000"/>
          <w:sz w:val="24"/>
          <w:szCs w:val="24"/>
          <w:lang w:eastAsia="zh-CN" w:bidi="hi-IN"/>
        </w:rPr>
      </w:pPr>
      <w:r w:rsidRPr="00294BA0">
        <w:rPr>
          <w:rFonts w:ascii="Bookman Old Style" w:eastAsia="WenQuanYi Micro Hei" w:hAnsi="Bookman Old Style" w:cs="Lohit Devanagari"/>
          <w:color w:val="000000"/>
          <w:sz w:val="24"/>
          <w:szCs w:val="24"/>
          <w:lang w:eastAsia="zh-CN" w:bidi="hi-IN"/>
        </w:rPr>
        <w:t>NEMA in 2010 formulated the National E-Waste Guidelines to assist the government, private sector, learning institutions and other stakeholders to manage e-waste effectively to enhance environmental conservation. The guidelines prescribe approaches to enhance environmental protection; environmental awareness; categories of e-waste and target groups; e-waste treatment technologies; and disposal procedures.</w:t>
      </w:r>
    </w:p>
    <w:p w:rsidR="008E02B6" w:rsidRPr="00294BA0" w:rsidRDefault="008E02B6" w:rsidP="008E02B6">
      <w:pPr>
        <w:numPr>
          <w:ilvl w:val="0"/>
          <w:numId w:val="26"/>
        </w:numPr>
        <w:spacing w:after="200" w:line="240" w:lineRule="auto"/>
        <w:jc w:val="both"/>
        <w:rPr>
          <w:rFonts w:ascii="Bookman Old Style" w:eastAsia="WenQuanYi Micro Hei" w:hAnsi="Bookman Old Style" w:cs="Lohit Devanagari"/>
          <w:color w:val="000000"/>
          <w:sz w:val="24"/>
          <w:szCs w:val="24"/>
          <w:lang w:eastAsia="zh-CN" w:bidi="hi-IN"/>
        </w:rPr>
      </w:pPr>
      <w:r w:rsidRPr="00B730E4">
        <w:rPr>
          <w:rStyle w:val="BodyTextChar"/>
          <w:rFonts w:ascii="Bookman Old Style" w:hAnsi="Bookman Old Style"/>
          <w:color w:val="000000"/>
        </w:rPr>
        <w:t>The East African Communications Organization (EACO) in 2017 developed the Regional E-Waste Management Strategy, to guide the region on E-Waste management. Each member country was required to devel</w:t>
      </w:r>
      <w:r>
        <w:rPr>
          <w:rStyle w:val="BodyTextChar"/>
          <w:rFonts w:ascii="Bookman Old Style" w:hAnsi="Bookman Old Style"/>
          <w:color w:val="000000"/>
        </w:rPr>
        <w:t>op a national E-waste Strategy</w:t>
      </w:r>
      <w:r w:rsidRPr="00B730E4">
        <w:rPr>
          <w:rStyle w:val="BodyTextChar"/>
          <w:rFonts w:ascii="Bookman Old Style" w:hAnsi="Bookman Old Style"/>
          <w:color w:val="000000"/>
        </w:rPr>
        <w:t>. Kenya has compli</w:t>
      </w:r>
      <w:r>
        <w:rPr>
          <w:rStyle w:val="BodyTextChar"/>
          <w:rFonts w:ascii="Bookman Old Style" w:hAnsi="Bookman Old Style"/>
          <w:color w:val="000000"/>
        </w:rPr>
        <w:t>ed with this requirement and</w:t>
      </w:r>
      <w:r w:rsidRPr="00B730E4">
        <w:rPr>
          <w:rStyle w:val="BodyTextChar"/>
          <w:rFonts w:ascii="Bookman Old Style" w:hAnsi="Bookman Old Style"/>
          <w:color w:val="000000"/>
        </w:rPr>
        <w:t xml:space="preserve"> developed a </w:t>
      </w:r>
      <w:r w:rsidRPr="00B730E4">
        <w:rPr>
          <w:rFonts w:ascii="Bookman Old Style" w:eastAsia="WenQuanYi Micro Hei" w:hAnsi="Bookman Old Style" w:cs="Lohit Devanagari"/>
          <w:color w:val="000000"/>
          <w:sz w:val="24"/>
          <w:szCs w:val="24"/>
          <w:lang w:eastAsia="zh-CN" w:bidi="hi-IN"/>
        </w:rPr>
        <w:t>National E-Waste Strategy 2019 to guide the country’s interventions in management of E-waste</w:t>
      </w:r>
      <w:r>
        <w:rPr>
          <w:rFonts w:ascii="Bookman Old Style" w:eastAsia="WenQuanYi Micro Hei" w:hAnsi="Bookman Old Style" w:cs="Lohit Devanagari"/>
          <w:color w:val="000000"/>
          <w:sz w:val="24"/>
          <w:szCs w:val="24"/>
          <w:lang w:eastAsia="zh-CN" w:bidi="hi-IN"/>
        </w:rPr>
        <w:t>, and is now ripe for review</w:t>
      </w:r>
      <w:r>
        <w:rPr>
          <w:rFonts w:ascii="Bookman Old Style" w:eastAsia="WenQuanYi Micro Hei" w:hAnsi="Bookman Old Style" w:cs="Lohit Devanagari"/>
          <w:color w:val="000000"/>
          <w:sz w:val="24"/>
          <w:szCs w:val="24"/>
          <w:lang w:eastAsia="zh-CN" w:bidi="hi-IN"/>
        </w:rPr>
        <w:t xml:space="preserve">. </w:t>
      </w:r>
    </w:p>
    <w:p w:rsidR="008E02B6" w:rsidRDefault="008E02B6" w:rsidP="008E02B6">
      <w:pPr>
        <w:spacing w:line="276" w:lineRule="auto"/>
        <w:jc w:val="both"/>
        <w:rPr>
          <w:rFonts w:ascii="Book Antiqua" w:eastAsia="Calibri" w:hAnsi="Book Antiqua" w:cs="Times New Roman"/>
          <w:sz w:val="24"/>
          <w:szCs w:val="24"/>
          <w:lang w:val="en-GB"/>
        </w:rPr>
      </w:pPr>
      <w:r w:rsidRPr="008E02B6">
        <w:rPr>
          <w:rFonts w:ascii="Book Antiqua" w:eastAsia="Calibri" w:hAnsi="Book Antiqua" w:cs="Times New Roman"/>
          <w:b/>
          <w:sz w:val="24"/>
          <w:szCs w:val="24"/>
          <w:lang w:val="en-GB"/>
        </w:rPr>
        <w:t>Enforcement of e-waste management going forward</w:t>
      </w:r>
      <w:r w:rsidR="00E17524">
        <w:rPr>
          <w:rFonts w:ascii="Book Antiqua" w:eastAsia="Calibri" w:hAnsi="Book Antiqua" w:cs="Times New Roman"/>
          <w:b/>
          <w:sz w:val="24"/>
          <w:szCs w:val="24"/>
          <w:lang w:val="en-GB"/>
        </w:rPr>
        <w:t xml:space="preserve"> </w:t>
      </w:r>
      <w:r w:rsidR="00E17524">
        <w:rPr>
          <w:rFonts w:ascii="Book Antiqua" w:eastAsia="Calibri" w:hAnsi="Book Antiqua" w:cs="Times New Roman"/>
          <w:sz w:val="24"/>
          <w:szCs w:val="24"/>
          <w:lang w:val="en-GB"/>
        </w:rPr>
        <w:t>w</w:t>
      </w:r>
      <w:r>
        <w:rPr>
          <w:rFonts w:ascii="Book Antiqua" w:eastAsia="Calibri" w:hAnsi="Book Antiqua" w:cs="Times New Roman"/>
          <w:sz w:val="24"/>
          <w:szCs w:val="24"/>
          <w:lang w:val="en-GB"/>
        </w:rPr>
        <w:t xml:space="preserve">ill be guided by both EPR regulations 2024 and waste management regulations 2024. All waste generators are expected to segregate waste at source and e-waste will be stored in black </w:t>
      </w:r>
      <w:proofErr w:type="spellStart"/>
      <w:r>
        <w:rPr>
          <w:rFonts w:ascii="Book Antiqua" w:eastAsia="Calibri" w:hAnsi="Book Antiqua" w:cs="Times New Roman"/>
          <w:sz w:val="24"/>
          <w:szCs w:val="24"/>
          <w:lang w:val="en-GB"/>
        </w:rPr>
        <w:t>color</w:t>
      </w:r>
      <w:proofErr w:type="spellEnd"/>
      <w:r>
        <w:rPr>
          <w:rFonts w:ascii="Book Antiqua" w:eastAsia="Calibri" w:hAnsi="Book Antiqua" w:cs="Times New Roman"/>
          <w:sz w:val="24"/>
          <w:szCs w:val="24"/>
          <w:lang w:val="en-GB"/>
        </w:rPr>
        <w:t xml:space="preserve"> coded bags together with </w:t>
      </w:r>
      <w:r w:rsidR="00D316FB">
        <w:rPr>
          <w:rFonts w:ascii="Book Antiqua" w:eastAsia="Calibri" w:hAnsi="Book Antiqua" w:cs="Times New Roman"/>
          <w:sz w:val="24"/>
          <w:szCs w:val="24"/>
          <w:lang w:val="en-GB"/>
        </w:rPr>
        <w:t xml:space="preserve">general waste. It could also be stored in blue </w:t>
      </w:r>
      <w:proofErr w:type="spellStart"/>
      <w:r w:rsidR="00D316FB">
        <w:rPr>
          <w:rFonts w:ascii="Book Antiqua" w:eastAsia="Calibri" w:hAnsi="Book Antiqua" w:cs="Times New Roman"/>
          <w:sz w:val="24"/>
          <w:szCs w:val="24"/>
          <w:lang w:val="en-GB"/>
        </w:rPr>
        <w:t>color</w:t>
      </w:r>
      <w:proofErr w:type="spellEnd"/>
      <w:r w:rsidR="00D316FB">
        <w:rPr>
          <w:rFonts w:ascii="Book Antiqua" w:eastAsia="Calibri" w:hAnsi="Book Antiqua" w:cs="Times New Roman"/>
          <w:sz w:val="24"/>
          <w:szCs w:val="24"/>
          <w:lang w:val="en-GB"/>
        </w:rPr>
        <w:t xml:space="preserve"> coded bags as recyclables. </w:t>
      </w:r>
    </w:p>
    <w:p w:rsidR="00D316FB" w:rsidRDefault="00D316FB" w:rsidP="008E02B6">
      <w:pPr>
        <w:spacing w:line="276" w:lineRule="auto"/>
        <w:jc w:val="both"/>
        <w:rPr>
          <w:rFonts w:ascii="Book Antiqua" w:eastAsia="Calibri" w:hAnsi="Book Antiqua" w:cs="Times New Roman"/>
          <w:sz w:val="24"/>
          <w:szCs w:val="24"/>
          <w:lang w:val="en-GB"/>
        </w:rPr>
      </w:pPr>
      <w:r>
        <w:rPr>
          <w:rFonts w:ascii="Book Antiqua" w:eastAsia="Calibri" w:hAnsi="Book Antiqua" w:cs="Times New Roman"/>
          <w:sz w:val="24"/>
          <w:szCs w:val="24"/>
          <w:lang w:val="en-GB"/>
        </w:rPr>
        <w:t xml:space="preserve">E-waste will be transported in segregated state to the material recovery facilities. </w:t>
      </w:r>
    </w:p>
    <w:p w:rsidR="00D316FB" w:rsidRDefault="00D316FB" w:rsidP="008E02B6">
      <w:pPr>
        <w:spacing w:line="276" w:lineRule="auto"/>
        <w:jc w:val="both"/>
        <w:rPr>
          <w:rFonts w:ascii="Book Antiqua" w:eastAsia="Calibri" w:hAnsi="Book Antiqua" w:cs="Times New Roman"/>
          <w:sz w:val="24"/>
          <w:szCs w:val="24"/>
          <w:lang w:val="en-GB"/>
        </w:rPr>
      </w:pPr>
      <w:r>
        <w:rPr>
          <w:rFonts w:ascii="Book Antiqua" w:eastAsia="Calibri" w:hAnsi="Book Antiqua" w:cs="Times New Roman"/>
          <w:sz w:val="24"/>
          <w:szCs w:val="24"/>
          <w:lang w:val="en-GB"/>
        </w:rPr>
        <w:lastRenderedPageBreak/>
        <w:t xml:space="preserve">The Producer responsibility Organizations are expected to facilitate collection, transportation, recycling and handling of end of life safe disposal of e-waste. </w:t>
      </w:r>
    </w:p>
    <w:p w:rsidR="00C56053" w:rsidRDefault="00C56053" w:rsidP="00C56053">
      <w:pPr>
        <w:spacing w:after="0" w:line="276" w:lineRule="auto"/>
        <w:jc w:val="both"/>
        <w:rPr>
          <w:rFonts w:ascii="Book Antiqua" w:eastAsia="Calibri" w:hAnsi="Book Antiqua" w:cs="Times New Roman"/>
          <w:b/>
          <w:color w:val="1A1A1A"/>
          <w:sz w:val="24"/>
          <w:szCs w:val="24"/>
          <w:u w:val="single"/>
          <w:shd w:val="clear" w:color="auto" w:fill="FFFFFF"/>
          <w:lang w:val="en-GB"/>
        </w:rPr>
      </w:pPr>
    </w:p>
    <w:p w:rsidR="00C56053" w:rsidRPr="00BF1A02" w:rsidRDefault="00C56053" w:rsidP="00C56053">
      <w:pPr>
        <w:spacing w:after="0" w:line="276" w:lineRule="auto"/>
        <w:jc w:val="both"/>
        <w:rPr>
          <w:rFonts w:ascii="Book Antiqua" w:eastAsia="Calibri" w:hAnsi="Book Antiqua" w:cs="Times New Roman"/>
          <w:b/>
          <w:color w:val="1A1A1A"/>
          <w:sz w:val="24"/>
          <w:szCs w:val="24"/>
          <w:shd w:val="clear" w:color="auto" w:fill="FFFFFF"/>
          <w:lang w:val="en-GB"/>
        </w:rPr>
      </w:pPr>
      <w:r w:rsidRPr="00BF1A02">
        <w:rPr>
          <w:rFonts w:ascii="Book Antiqua" w:eastAsia="Calibri" w:hAnsi="Book Antiqua" w:cs="Times New Roman"/>
          <w:b/>
          <w:color w:val="1A1A1A"/>
          <w:sz w:val="24"/>
          <w:szCs w:val="24"/>
          <w:shd w:val="clear" w:color="auto" w:fill="FFFFFF"/>
          <w:lang w:val="en-GB"/>
        </w:rPr>
        <w:t>Operationalization of EPR</w:t>
      </w:r>
    </w:p>
    <w:p w:rsidR="00C56053" w:rsidRDefault="00C56053" w:rsidP="00C56053">
      <w:pPr>
        <w:spacing w:after="0" w:line="276" w:lineRule="auto"/>
        <w:jc w:val="both"/>
        <w:rPr>
          <w:rFonts w:ascii="Book Antiqua" w:eastAsia="Calibri" w:hAnsi="Book Antiqua" w:cs="Times New Roman"/>
          <w:color w:val="1A1A1A"/>
          <w:sz w:val="24"/>
          <w:szCs w:val="24"/>
          <w:lang w:val="en-GB"/>
        </w:rPr>
      </w:pPr>
    </w:p>
    <w:p w:rsidR="00C56053" w:rsidRPr="0083492A" w:rsidRDefault="00C56053" w:rsidP="00C56053">
      <w:pPr>
        <w:spacing w:after="0" w:line="276" w:lineRule="auto"/>
        <w:jc w:val="both"/>
        <w:rPr>
          <w:rFonts w:ascii="Book Antiqua" w:eastAsia="Calibri" w:hAnsi="Book Antiqua" w:cs="Times New Roman"/>
          <w:b/>
          <w:color w:val="1A1A1A"/>
          <w:sz w:val="24"/>
          <w:szCs w:val="24"/>
          <w:u w:val="single"/>
          <w:shd w:val="clear" w:color="auto" w:fill="FFFFFF"/>
          <w:lang w:val="en-GB"/>
        </w:rPr>
      </w:pPr>
      <w:r>
        <w:rPr>
          <w:rFonts w:ascii="Book Antiqua" w:eastAsia="Calibri" w:hAnsi="Book Antiqua" w:cs="Times New Roman"/>
          <w:color w:val="1A1A1A"/>
          <w:sz w:val="24"/>
          <w:szCs w:val="24"/>
          <w:lang w:val="en-GB"/>
        </w:rPr>
        <w:t>EPR implementation is ongoing and producers are</w:t>
      </w:r>
      <w:r w:rsidRPr="0083492A">
        <w:rPr>
          <w:rFonts w:ascii="Book Antiqua" w:eastAsia="Calibri" w:hAnsi="Book Antiqua" w:cs="Times New Roman"/>
          <w:color w:val="1A1A1A"/>
          <w:sz w:val="24"/>
          <w:szCs w:val="24"/>
          <w:lang w:val="en-GB"/>
        </w:rPr>
        <w:t xml:space="preserve"> expected to </w:t>
      </w:r>
    </w:p>
    <w:p w:rsidR="00C56053" w:rsidRPr="003F1E07" w:rsidRDefault="00C56053" w:rsidP="00C56053">
      <w:pPr>
        <w:pStyle w:val="ListParagraph"/>
        <w:numPr>
          <w:ilvl w:val="0"/>
          <w:numId w:val="18"/>
        </w:numPr>
        <w:spacing w:after="0" w:line="276" w:lineRule="auto"/>
        <w:ind w:left="851"/>
        <w:jc w:val="both"/>
        <w:rPr>
          <w:rFonts w:ascii="Book Antiqua" w:eastAsia="Calibri" w:hAnsi="Book Antiqua" w:cs="Times New Roman"/>
          <w:b/>
          <w:color w:val="1A1A1A"/>
          <w:sz w:val="24"/>
          <w:szCs w:val="24"/>
          <w:u w:val="single"/>
          <w:shd w:val="clear" w:color="auto" w:fill="FFFFFF"/>
          <w:lang w:val="en-GB"/>
        </w:rPr>
      </w:pPr>
      <w:r>
        <w:rPr>
          <w:rFonts w:ascii="Book Antiqua" w:eastAsia="Calibri" w:hAnsi="Book Antiqua" w:cs="Times New Roman"/>
          <w:color w:val="1A1A1A"/>
          <w:sz w:val="24"/>
          <w:szCs w:val="24"/>
          <w:lang w:val="en-GB"/>
        </w:rPr>
        <w:t>Register with NEMA as a producer – this is already ongoing online</w:t>
      </w:r>
    </w:p>
    <w:p w:rsidR="00C56053" w:rsidRPr="003F1E07" w:rsidRDefault="00C56053" w:rsidP="00C56053">
      <w:pPr>
        <w:pStyle w:val="ListParagraph"/>
        <w:numPr>
          <w:ilvl w:val="0"/>
          <w:numId w:val="18"/>
        </w:numPr>
        <w:spacing w:after="0" w:line="276" w:lineRule="auto"/>
        <w:ind w:left="851"/>
        <w:jc w:val="both"/>
        <w:rPr>
          <w:rFonts w:ascii="Book Antiqua" w:eastAsia="Calibri" w:hAnsi="Book Antiqua" w:cs="Times New Roman"/>
          <w:b/>
          <w:color w:val="1A1A1A"/>
          <w:sz w:val="24"/>
          <w:szCs w:val="24"/>
          <w:u w:val="single"/>
          <w:shd w:val="clear" w:color="auto" w:fill="FFFFFF"/>
          <w:lang w:val="en-GB"/>
        </w:rPr>
      </w:pPr>
      <w:proofErr w:type="gramStart"/>
      <w:r>
        <w:rPr>
          <w:rFonts w:ascii="Book Antiqua" w:eastAsia="Calibri" w:hAnsi="Book Antiqua" w:cs="Times New Roman"/>
          <w:color w:val="1A1A1A"/>
          <w:sz w:val="24"/>
          <w:szCs w:val="24"/>
          <w:lang w:val="en-GB"/>
        </w:rPr>
        <w:t>declare</w:t>
      </w:r>
      <w:proofErr w:type="gramEnd"/>
      <w:r>
        <w:rPr>
          <w:rFonts w:ascii="Book Antiqua" w:eastAsia="Calibri" w:hAnsi="Book Antiqua" w:cs="Times New Roman"/>
          <w:color w:val="1A1A1A"/>
          <w:sz w:val="24"/>
          <w:szCs w:val="24"/>
          <w:lang w:val="en-GB"/>
        </w:rPr>
        <w:t xml:space="preserve"> volumes of products introduced into the country as well as waste managed through reuse, recycling and appropriate disposal. This will help NEMA to get data for further decision making on waste management. </w:t>
      </w:r>
    </w:p>
    <w:p w:rsidR="00C56053" w:rsidRPr="00476A10" w:rsidRDefault="00C56053" w:rsidP="00C56053">
      <w:pPr>
        <w:pStyle w:val="ListParagraph"/>
        <w:numPr>
          <w:ilvl w:val="0"/>
          <w:numId w:val="18"/>
        </w:numPr>
        <w:spacing w:after="0" w:line="276" w:lineRule="auto"/>
        <w:ind w:left="851"/>
        <w:jc w:val="both"/>
        <w:rPr>
          <w:rFonts w:ascii="Book Antiqua" w:eastAsia="Calibri" w:hAnsi="Book Antiqua" w:cs="Times New Roman"/>
          <w:b/>
          <w:color w:val="1A1A1A"/>
          <w:sz w:val="24"/>
          <w:szCs w:val="24"/>
          <w:u w:val="single"/>
          <w:shd w:val="clear" w:color="auto" w:fill="FFFFFF"/>
          <w:lang w:val="en-GB"/>
        </w:rPr>
      </w:pPr>
      <w:r>
        <w:rPr>
          <w:rFonts w:ascii="Book Antiqua" w:eastAsia="Calibri" w:hAnsi="Book Antiqua" w:cs="Times New Roman"/>
          <w:color w:val="1A1A1A"/>
          <w:sz w:val="24"/>
          <w:szCs w:val="24"/>
          <w:lang w:val="en-GB"/>
        </w:rPr>
        <w:t>Join or establish an individual or collective EPR scheme to implement their EPR obligations for the members.</w:t>
      </w:r>
    </w:p>
    <w:p w:rsidR="00C56053" w:rsidRPr="0083492A" w:rsidRDefault="00C56053" w:rsidP="00C56053">
      <w:pPr>
        <w:pStyle w:val="ListParagraph"/>
        <w:numPr>
          <w:ilvl w:val="0"/>
          <w:numId w:val="18"/>
        </w:numPr>
        <w:spacing w:after="0" w:line="276" w:lineRule="auto"/>
        <w:ind w:left="851"/>
        <w:jc w:val="both"/>
        <w:rPr>
          <w:rFonts w:ascii="Book Antiqua" w:eastAsia="Calibri" w:hAnsi="Book Antiqua" w:cs="Times New Roman"/>
          <w:b/>
          <w:color w:val="1A1A1A"/>
          <w:sz w:val="24"/>
          <w:szCs w:val="24"/>
          <w:u w:val="single"/>
          <w:shd w:val="clear" w:color="auto" w:fill="FFFFFF"/>
          <w:lang w:val="en-GB"/>
        </w:rPr>
      </w:pPr>
      <w:r>
        <w:rPr>
          <w:rFonts w:ascii="Book Antiqua" w:eastAsia="Calibri" w:hAnsi="Book Antiqua" w:cs="Times New Roman"/>
          <w:color w:val="1A1A1A"/>
          <w:sz w:val="24"/>
          <w:szCs w:val="24"/>
          <w:lang w:val="en-GB"/>
        </w:rPr>
        <w:t xml:space="preserve">For those importing finished products and packaging listed in Schedule 1, pay </w:t>
      </w:r>
      <w:proofErr w:type="spellStart"/>
      <w:r>
        <w:rPr>
          <w:rFonts w:ascii="Book Antiqua" w:eastAsia="Calibri" w:hAnsi="Book Antiqua" w:cs="Times New Roman"/>
          <w:color w:val="1A1A1A"/>
          <w:sz w:val="24"/>
          <w:szCs w:val="24"/>
          <w:lang w:val="en-GB"/>
        </w:rPr>
        <w:t>Kshs</w:t>
      </w:r>
      <w:proofErr w:type="spellEnd"/>
      <w:r>
        <w:rPr>
          <w:rFonts w:ascii="Book Antiqua" w:eastAsia="Calibri" w:hAnsi="Book Antiqua" w:cs="Times New Roman"/>
          <w:color w:val="1A1A1A"/>
          <w:sz w:val="24"/>
          <w:szCs w:val="24"/>
          <w:lang w:val="en-GB"/>
        </w:rPr>
        <w:t xml:space="preserve"> 150 per item (standard unit of measure e.g. dozen, carton, bale) to NEMA which will be used for management of end of life management of waste at post recycling or incineration level usually in sanitary engineered landfills. The basis for this fee is that most products are not recycled completely and generate residual waste which need to be managed and hence more research, technologies and infrastructure is needed. </w:t>
      </w:r>
    </w:p>
    <w:p w:rsidR="00C56053" w:rsidRDefault="00C56053" w:rsidP="00C56053">
      <w:pPr>
        <w:spacing w:after="0" w:line="276" w:lineRule="auto"/>
        <w:jc w:val="both"/>
        <w:rPr>
          <w:rFonts w:ascii="Book Antiqua" w:eastAsia="Calibri" w:hAnsi="Book Antiqua" w:cs="Times New Roman"/>
          <w:color w:val="1A1A1A"/>
          <w:sz w:val="24"/>
          <w:szCs w:val="24"/>
          <w:shd w:val="clear" w:color="auto" w:fill="FFFFFF"/>
          <w:lang w:val="en-GB"/>
        </w:rPr>
      </w:pPr>
      <w:r w:rsidRPr="0083492A">
        <w:rPr>
          <w:rFonts w:ascii="Book Antiqua" w:eastAsia="Calibri" w:hAnsi="Book Antiqua" w:cs="Times New Roman"/>
          <w:color w:val="1A1A1A"/>
          <w:sz w:val="24"/>
          <w:szCs w:val="24"/>
          <w:shd w:val="clear" w:color="auto" w:fill="FFFFFF"/>
          <w:lang w:val="en-GB"/>
        </w:rPr>
        <w:t>The Producer Responsibilit</w:t>
      </w:r>
      <w:r>
        <w:rPr>
          <w:rFonts w:ascii="Book Antiqua" w:eastAsia="Calibri" w:hAnsi="Book Antiqua" w:cs="Times New Roman"/>
          <w:color w:val="1A1A1A"/>
          <w:sz w:val="24"/>
          <w:szCs w:val="24"/>
          <w:shd w:val="clear" w:color="auto" w:fill="FFFFFF"/>
          <w:lang w:val="en-GB"/>
        </w:rPr>
        <w:t>y Organizations are expected to:-</w:t>
      </w:r>
    </w:p>
    <w:p w:rsidR="00C56053" w:rsidRDefault="00C56053" w:rsidP="00C56053">
      <w:pPr>
        <w:pStyle w:val="ListParagraph"/>
        <w:numPr>
          <w:ilvl w:val="0"/>
          <w:numId w:val="19"/>
        </w:numPr>
        <w:spacing w:after="0" w:line="276" w:lineRule="auto"/>
        <w:jc w:val="both"/>
        <w:rPr>
          <w:rFonts w:ascii="Book Antiqua" w:eastAsia="Calibri" w:hAnsi="Book Antiqua" w:cs="Times New Roman"/>
          <w:color w:val="1A1A1A"/>
          <w:sz w:val="24"/>
          <w:szCs w:val="24"/>
          <w:shd w:val="clear" w:color="auto" w:fill="FFFFFF"/>
          <w:lang w:val="en-GB"/>
        </w:rPr>
      </w:pPr>
      <w:r>
        <w:rPr>
          <w:rFonts w:ascii="Book Antiqua" w:eastAsia="Calibri" w:hAnsi="Book Antiqua" w:cs="Times New Roman"/>
          <w:color w:val="1A1A1A"/>
          <w:sz w:val="24"/>
          <w:szCs w:val="24"/>
          <w:shd w:val="clear" w:color="auto" w:fill="FFFFFF"/>
          <w:lang w:val="en-GB"/>
        </w:rPr>
        <w:t>Implement EPR obligations for their members.</w:t>
      </w:r>
    </w:p>
    <w:p w:rsidR="00C56053" w:rsidRDefault="00C56053" w:rsidP="00C56053">
      <w:pPr>
        <w:pStyle w:val="ListParagraph"/>
        <w:numPr>
          <w:ilvl w:val="0"/>
          <w:numId w:val="19"/>
        </w:numPr>
        <w:spacing w:after="0" w:line="276" w:lineRule="auto"/>
        <w:jc w:val="both"/>
        <w:rPr>
          <w:rFonts w:ascii="Book Antiqua" w:eastAsia="Calibri" w:hAnsi="Book Antiqua" w:cs="Times New Roman"/>
          <w:color w:val="1A1A1A"/>
          <w:sz w:val="24"/>
          <w:szCs w:val="24"/>
          <w:shd w:val="clear" w:color="auto" w:fill="FFFFFF"/>
          <w:lang w:val="en-GB"/>
        </w:rPr>
      </w:pPr>
      <w:r>
        <w:rPr>
          <w:rFonts w:ascii="Book Antiqua" w:eastAsia="Calibri" w:hAnsi="Book Antiqua" w:cs="Times New Roman"/>
          <w:color w:val="1A1A1A"/>
          <w:sz w:val="24"/>
          <w:szCs w:val="24"/>
          <w:shd w:val="clear" w:color="auto" w:fill="FFFFFF"/>
          <w:lang w:val="en-GB"/>
        </w:rPr>
        <w:t xml:space="preserve">Develop EPR plan for management of each product released to the environment by their membership. </w:t>
      </w:r>
    </w:p>
    <w:p w:rsidR="00C56053" w:rsidRDefault="00C56053" w:rsidP="00C56053">
      <w:pPr>
        <w:pStyle w:val="ListParagraph"/>
        <w:numPr>
          <w:ilvl w:val="0"/>
          <w:numId w:val="19"/>
        </w:numPr>
        <w:spacing w:after="0" w:line="276" w:lineRule="auto"/>
        <w:jc w:val="both"/>
        <w:rPr>
          <w:rFonts w:ascii="Book Antiqua" w:eastAsia="Calibri" w:hAnsi="Book Antiqua" w:cs="Times New Roman"/>
          <w:color w:val="1A1A1A"/>
          <w:sz w:val="24"/>
          <w:szCs w:val="24"/>
          <w:shd w:val="clear" w:color="auto" w:fill="FFFFFF"/>
          <w:lang w:val="en-GB"/>
        </w:rPr>
      </w:pPr>
      <w:r>
        <w:rPr>
          <w:rFonts w:ascii="Book Antiqua" w:eastAsia="Calibri" w:hAnsi="Book Antiqua" w:cs="Times New Roman"/>
          <w:color w:val="1A1A1A"/>
          <w:sz w:val="24"/>
          <w:szCs w:val="24"/>
          <w:shd w:val="clear" w:color="auto" w:fill="FFFFFF"/>
          <w:lang w:val="en-GB"/>
        </w:rPr>
        <w:t>Report to NEMA on EPR implementation</w:t>
      </w:r>
    </w:p>
    <w:p w:rsidR="00C56053" w:rsidRDefault="00C56053" w:rsidP="00C56053">
      <w:pPr>
        <w:pStyle w:val="ListParagraph"/>
        <w:numPr>
          <w:ilvl w:val="0"/>
          <w:numId w:val="19"/>
        </w:numPr>
        <w:spacing w:after="0" w:line="276" w:lineRule="auto"/>
        <w:jc w:val="both"/>
        <w:rPr>
          <w:rFonts w:ascii="Book Antiqua" w:eastAsia="Calibri" w:hAnsi="Book Antiqua" w:cs="Times New Roman"/>
          <w:color w:val="1A1A1A"/>
          <w:sz w:val="24"/>
          <w:szCs w:val="24"/>
          <w:shd w:val="clear" w:color="auto" w:fill="FFFFFF"/>
          <w:lang w:val="en-GB"/>
        </w:rPr>
      </w:pPr>
      <w:r>
        <w:rPr>
          <w:rFonts w:ascii="Book Antiqua" w:eastAsia="Calibri" w:hAnsi="Book Antiqua" w:cs="Times New Roman"/>
          <w:color w:val="1A1A1A"/>
          <w:sz w:val="24"/>
          <w:szCs w:val="24"/>
          <w:shd w:val="clear" w:color="auto" w:fill="FFFFFF"/>
          <w:lang w:val="en-GB"/>
        </w:rPr>
        <w:t>Receive EPR fees from producers based on an approved formula to facilitate implementation of EPR obligations.</w:t>
      </w:r>
    </w:p>
    <w:p w:rsidR="00C56053" w:rsidRPr="00476A10" w:rsidRDefault="00C56053" w:rsidP="00C56053">
      <w:pPr>
        <w:pStyle w:val="ListParagraph"/>
        <w:spacing w:after="0" w:line="276" w:lineRule="auto"/>
        <w:ind w:left="1800"/>
        <w:jc w:val="both"/>
        <w:rPr>
          <w:rFonts w:ascii="Book Antiqua" w:eastAsia="Calibri" w:hAnsi="Book Antiqua" w:cs="Times New Roman"/>
          <w:b/>
          <w:color w:val="1A1A1A"/>
          <w:sz w:val="24"/>
          <w:szCs w:val="24"/>
          <w:u w:val="single"/>
          <w:shd w:val="clear" w:color="auto" w:fill="FFFFFF"/>
          <w:lang w:val="en-GB"/>
        </w:rPr>
      </w:pPr>
    </w:p>
    <w:p w:rsidR="00C56053" w:rsidRPr="0083492A" w:rsidRDefault="00C56053" w:rsidP="00C56053">
      <w:pPr>
        <w:spacing w:line="276" w:lineRule="auto"/>
        <w:jc w:val="both"/>
        <w:rPr>
          <w:rFonts w:ascii="Book Antiqua" w:hAnsi="Book Antiqua"/>
          <w:b/>
          <w:sz w:val="24"/>
          <w:szCs w:val="24"/>
        </w:rPr>
      </w:pPr>
      <w:r>
        <w:rPr>
          <w:rFonts w:ascii="Book Antiqua" w:hAnsi="Book Antiqua"/>
          <w:b/>
          <w:sz w:val="24"/>
          <w:szCs w:val="24"/>
        </w:rPr>
        <w:t>Role of NEMA in EPR implementation</w:t>
      </w:r>
    </w:p>
    <w:p w:rsidR="00C56053" w:rsidRPr="00C548B3" w:rsidRDefault="00C56053" w:rsidP="00C56053">
      <w:pPr>
        <w:pStyle w:val="ListParagraph"/>
        <w:numPr>
          <w:ilvl w:val="0"/>
          <w:numId w:val="25"/>
        </w:numPr>
        <w:spacing w:after="0" w:line="276" w:lineRule="auto"/>
        <w:jc w:val="both"/>
        <w:rPr>
          <w:rFonts w:ascii="Book Antiqua" w:eastAsia="Calibri" w:hAnsi="Book Antiqua" w:cs="Times New Roman"/>
          <w:sz w:val="24"/>
          <w:szCs w:val="24"/>
          <w:lang w:val="en-GB"/>
        </w:rPr>
      </w:pPr>
      <w:r w:rsidRPr="00C548B3">
        <w:rPr>
          <w:rFonts w:ascii="Book Antiqua" w:eastAsia="Calibri" w:hAnsi="Book Antiqua" w:cs="Times New Roman"/>
          <w:sz w:val="24"/>
          <w:szCs w:val="24"/>
          <w:lang w:val="en-GB"/>
        </w:rPr>
        <w:t xml:space="preserve">The Authority (NEMA) is expected to play a significant role in implementing the EPR regulations as itemized below. </w:t>
      </w:r>
    </w:p>
    <w:p w:rsidR="00C56053" w:rsidRPr="00A17BEC" w:rsidRDefault="00C56053" w:rsidP="00C56053">
      <w:pPr>
        <w:pStyle w:val="ListParagraph"/>
        <w:numPr>
          <w:ilvl w:val="0"/>
          <w:numId w:val="24"/>
        </w:numPr>
        <w:spacing w:after="0" w:line="276" w:lineRule="auto"/>
        <w:ind w:left="1418"/>
        <w:jc w:val="both"/>
        <w:rPr>
          <w:rFonts w:ascii="Book Antiqua" w:eastAsia="Calibri" w:hAnsi="Book Antiqua" w:cs="Times New Roman"/>
          <w:sz w:val="24"/>
          <w:szCs w:val="24"/>
          <w:lang w:val="en-GB"/>
        </w:rPr>
      </w:pPr>
      <w:r w:rsidRPr="00A17BEC">
        <w:rPr>
          <w:rFonts w:ascii="Book Antiqua" w:eastAsia="Calibri" w:hAnsi="Book Antiqua" w:cs="Times New Roman"/>
          <w:sz w:val="24"/>
          <w:szCs w:val="24"/>
          <w:lang w:val="en-GB"/>
        </w:rPr>
        <w:t>Developing and automating a registration and licensing system.</w:t>
      </w:r>
    </w:p>
    <w:p w:rsidR="00C56053" w:rsidRPr="00A17BEC" w:rsidRDefault="00C56053" w:rsidP="00C56053">
      <w:pPr>
        <w:pStyle w:val="ListParagraph"/>
        <w:numPr>
          <w:ilvl w:val="0"/>
          <w:numId w:val="24"/>
        </w:numPr>
        <w:spacing w:after="0" w:line="276" w:lineRule="auto"/>
        <w:ind w:left="1418"/>
        <w:jc w:val="both"/>
        <w:rPr>
          <w:rFonts w:ascii="Book Antiqua" w:eastAsia="Calibri" w:hAnsi="Book Antiqua" w:cs="Times New Roman"/>
          <w:sz w:val="24"/>
          <w:szCs w:val="24"/>
          <w:lang w:val="en-GB"/>
        </w:rPr>
      </w:pPr>
      <w:r w:rsidRPr="00A17BEC">
        <w:rPr>
          <w:rFonts w:ascii="Book Antiqua" w:eastAsia="Calibri" w:hAnsi="Book Antiqua" w:cs="Times New Roman"/>
          <w:sz w:val="24"/>
          <w:szCs w:val="24"/>
          <w:lang w:val="en-GB"/>
        </w:rPr>
        <w:t>Developing the PRO reporting systems.</w:t>
      </w:r>
    </w:p>
    <w:p w:rsidR="00C56053" w:rsidRPr="00A17BEC" w:rsidRDefault="00C56053" w:rsidP="00C56053">
      <w:pPr>
        <w:pStyle w:val="ListParagraph"/>
        <w:numPr>
          <w:ilvl w:val="0"/>
          <w:numId w:val="24"/>
        </w:numPr>
        <w:spacing w:after="0" w:line="276" w:lineRule="auto"/>
        <w:ind w:left="1418"/>
        <w:jc w:val="both"/>
        <w:rPr>
          <w:rFonts w:ascii="Book Antiqua" w:eastAsia="Calibri" w:hAnsi="Book Antiqua" w:cs="Times New Roman"/>
          <w:sz w:val="24"/>
          <w:szCs w:val="24"/>
          <w:lang w:val="en-GB"/>
        </w:rPr>
      </w:pPr>
      <w:r w:rsidRPr="00A17BEC">
        <w:rPr>
          <w:rFonts w:ascii="Book Antiqua" w:eastAsia="Calibri" w:hAnsi="Book Antiqua" w:cs="Times New Roman"/>
          <w:sz w:val="24"/>
          <w:szCs w:val="24"/>
          <w:lang w:val="en-GB"/>
        </w:rPr>
        <w:t>Developing the National recycling targets which will guide the PRO targets.</w:t>
      </w:r>
    </w:p>
    <w:p w:rsidR="00C56053" w:rsidRDefault="00C56053" w:rsidP="00C56053">
      <w:pPr>
        <w:pStyle w:val="ListParagraph"/>
        <w:numPr>
          <w:ilvl w:val="0"/>
          <w:numId w:val="24"/>
        </w:numPr>
        <w:spacing w:after="0" w:line="276" w:lineRule="auto"/>
        <w:ind w:left="1418"/>
        <w:jc w:val="both"/>
        <w:rPr>
          <w:rFonts w:ascii="Book Antiqua" w:eastAsia="Calibri" w:hAnsi="Book Antiqua" w:cs="Times New Roman"/>
          <w:sz w:val="24"/>
          <w:szCs w:val="24"/>
          <w:lang w:val="en-GB"/>
        </w:rPr>
      </w:pPr>
      <w:r w:rsidRPr="00A17BEC">
        <w:rPr>
          <w:rFonts w:ascii="Book Antiqua" w:eastAsia="Calibri" w:hAnsi="Book Antiqua" w:cs="Times New Roman"/>
          <w:sz w:val="24"/>
          <w:szCs w:val="24"/>
          <w:lang w:val="en-GB"/>
        </w:rPr>
        <w:t xml:space="preserve">Training of </w:t>
      </w:r>
      <w:r>
        <w:rPr>
          <w:rFonts w:ascii="Book Antiqua" w:eastAsia="Calibri" w:hAnsi="Book Antiqua" w:cs="Times New Roman"/>
          <w:sz w:val="24"/>
          <w:szCs w:val="24"/>
          <w:lang w:val="en-GB"/>
        </w:rPr>
        <w:t xml:space="preserve">NEMA and County </w:t>
      </w:r>
      <w:r w:rsidRPr="00A17BEC">
        <w:rPr>
          <w:rFonts w:ascii="Book Antiqua" w:eastAsia="Calibri" w:hAnsi="Book Antiqua" w:cs="Times New Roman"/>
          <w:sz w:val="24"/>
          <w:szCs w:val="24"/>
          <w:lang w:val="en-GB"/>
        </w:rPr>
        <w:t>staff on the EPR regulations</w:t>
      </w:r>
    </w:p>
    <w:p w:rsidR="00C56053" w:rsidRDefault="00C56053" w:rsidP="00C56053">
      <w:pPr>
        <w:pStyle w:val="ListParagraph"/>
        <w:numPr>
          <w:ilvl w:val="0"/>
          <w:numId w:val="24"/>
        </w:numPr>
        <w:spacing w:after="0" w:line="276" w:lineRule="auto"/>
        <w:ind w:left="1418"/>
        <w:jc w:val="both"/>
        <w:rPr>
          <w:rFonts w:ascii="Book Antiqua" w:eastAsia="Calibri" w:hAnsi="Book Antiqua" w:cs="Times New Roman"/>
          <w:sz w:val="24"/>
          <w:szCs w:val="24"/>
          <w:lang w:val="en-GB"/>
        </w:rPr>
      </w:pPr>
      <w:r>
        <w:rPr>
          <w:rFonts w:ascii="Book Antiqua" w:eastAsia="Calibri" w:hAnsi="Book Antiqua" w:cs="Times New Roman"/>
          <w:sz w:val="24"/>
          <w:szCs w:val="24"/>
          <w:lang w:val="en-GB"/>
        </w:rPr>
        <w:t>T</w:t>
      </w:r>
      <w:r w:rsidRPr="00A17BEC">
        <w:rPr>
          <w:rFonts w:ascii="Book Antiqua" w:eastAsia="Calibri" w:hAnsi="Book Antiqua" w:cs="Times New Roman"/>
          <w:sz w:val="24"/>
          <w:szCs w:val="24"/>
          <w:lang w:val="en-GB"/>
        </w:rPr>
        <w:t>raining of the pr</w:t>
      </w:r>
      <w:r>
        <w:rPr>
          <w:rFonts w:ascii="Book Antiqua" w:eastAsia="Calibri" w:hAnsi="Book Antiqua" w:cs="Times New Roman"/>
          <w:sz w:val="24"/>
          <w:szCs w:val="24"/>
          <w:lang w:val="en-GB"/>
        </w:rPr>
        <w:t xml:space="preserve">oducers and PROs on their </w:t>
      </w:r>
      <w:r w:rsidRPr="00A17BEC">
        <w:rPr>
          <w:rFonts w:ascii="Book Antiqua" w:eastAsia="Calibri" w:hAnsi="Book Antiqua" w:cs="Times New Roman"/>
          <w:sz w:val="24"/>
          <w:szCs w:val="24"/>
          <w:lang w:val="en-GB"/>
        </w:rPr>
        <w:t xml:space="preserve">EPR </w:t>
      </w:r>
      <w:r>
        <w:rPr>
          <w:rFonts w:ascii="Book Antiqua" w:eastAsia="Calibri" w:hAnsi="Book Antiqua" w:cs="Times New Roman"/>
          <w:sz w:val="24"/>
          <w:szCs w:val="24"/>
          <w:lang w:val="en-GB"/>
        </w:rPr>
        <w:t>obligations.</w:t>
      </w:r>
    </w:p>
    <w:p w:rsidR="00C56053" w:rsidRDefault="00C56053" w:rsidP="00C56053">
      <w:pPr>
        <w:pStyle w:val="ListParagraph"/>
        <w:numPr>
          <w:ilvl w:val="0"/>
          <w:numId w:val="24"/>
        </w:numPr>
        <w:spacing w:after="0" w:line="276" w:lineRule="auto"/>
        <w:ind w:left="1418"/>
        <w:jc w:val="both"/>
        <w:rPr>
          <w:rFonts w:ascii="Book Antiqua" w:eastAsia="Calibri" w:hAnsi="Book Antiqua" w:cs="Times New Roman"/>
          <w:sz w:val="24"/>
          <w:szCs w:val="24"/>
          <w:lang w:val="en-GB"/>
        </w:rPr>
      </w:pPr>
      <w:r>
        <w:rPr>
          <w:rFonts w:ascii="Book Antiqua" w:eastAsia="Calibri" w:hAnsi="Book Antiqua" w:cs="Times New Roman"/>
          <w:sz w:val="24"/>
          <w:szCs w:val="24"/>
          <w:lang w:val="en-GB"/>
        </w:rPr>
        <w:t>Creating a level playing field for all producers to participate in EPR</w:t>
      </w:r>
    </w:p>
    <w:p w:rsidR="00C56053" w:rsidRDefault="00C56053" w:rsidP="00C56053">
      <w:pPr>
        <w:pStyle w:val="ListParagraph"/>
        <w:numPr>
          <w:ilvl w:val="0"/>
          <w:numId w:val="24"/>
        </w:numPr>
        <w:spacing w:after="0" w:line="276" w:lineRule="auto"/>
        <w:ind w:left="1418"/>
        <w:jc w:val="both"/>
        <w:rPr>
          <w:rFonts w:ascii="Book Antiqua" w:eastAsia="Calibri" w:hAnsi="Book Antiqua" w:cs="Times New Roman"/>
          <w:sz w:val="24"/>
          <w:szCs w:val="24"/>
          <w:lang w:val="en-GB"/>
        </w:rPr>
      </w:pPr>
      <w:r>
        <w:rPr>
          <w:rFonts w:ascii="Book Antiqua" w:eastAsia="Calibri" w:hAnsi="Book Antiqua" w:cs="Times New Roman"/>
          <w:sz w:val="24"/>
          <w:szCs w:val="24"/>
          <w:lang w:val="en-GB"/>
        </w:rPr>
        <w:lastRenderedPageBreak/>
        <w:t xml:space="preserve">Compliance and enforcement of EPR implementation by producers and </w:t>
      </w:r>
      <w:proofErr w:type="spellStart"/>
      <w:r>
        <w:rPr>
          <w:rFonts w:ascii="Book Antiqua" w:eastAsia="Calibri" w:hAnsi="Book Antiqua" w:cs="Times New Roman"/>
          <w:sz w:val="24"/>
          <w:szCs w:val="24"/>
          <w:lang w:val="en-GB"/>
        </w:rPr>
        <w:t>PROs.</w:t>
      </w:r>
      <w:proofErr w:type="spellEnd"/>
    </w:p>
    <w:p w:rsidR="00C56053" w:rsidRDefault="00C56053" w:rsidP="008E02B6">
      <w:pPr>
        <w:spacing w:line="276" w:lineRule="auto"/>
        <w:jc w:val="both"/>
        <w:rPr>
          <w:rFonts w:ascii="Book Antiqua" w:eastAsia="Calibri" w:hAnsi="Book Antiqua" w:cs="Times New Roman"/>
          <w:sz w:val="24"/>
          <w:szCs w:val="24"/>
          <w:lang w:val="en-GB"/>
        </w:rPr>
      </w:pPr>
    </w:p>
    <w:p w:rsidR="00C56053" w:rsidRDefault="00C56053" w:rsidP="008E02B6">
      <w:pPr>
        <w:spacing w:line="276" w:lineRule="auto"/>
        <w:jc w:val="both"/>
        <w:rPr>
          <w:rFonts w:ascii="Book Antiqua" w:eastAsia="Calibri" w:hAnsi="Book Antiqua" w:cs="Times New Roman"/>
          <w:sz w:val="24"/>
          <w:szCs w:val="24"/>
          <w:lang w:val="en-GB"/>
        </w:rPr>
      </w:pPr>
    </w:p>
    <w:p w:rsidR="00D316FB" w:rsidRDefault="00D316FB" w:rsidP="008E02B6">
      <w:pPr>
        <w:spacing w:line="276" w:lineRule="auto"/>
        <w:jc w:val="both"/>
        <w:rPr>
          <w:rFonts w:ascii="Book Antiqua" w:eastAsia="Calibri" w:hAnsi="Book Antiqua" w:cs="Times New Roman"/>
          <w:sz w:val="24"/>
          <w:szCs w:val="24"/>
          <w:lang w:val="en-GB"/>
        </w:rPr>
      </w:pPr>
      <w:r>
        <w:rPr>
          <w:rFonts w:ascii="Book Antiqua" w:eastAsia="Calibri" w:hAnsi="Book Antiqua" w:cs="Times New Roman"/>
          <w:sz w:val="24"/>
          <w:szCs w:val="24"/>
          <w:lang w:val="en-GB"/>
        </w:rPr>
        <w:t>NEMA has opened the portal for registration of EEE producers and will ensure that all producers are registered by 4</w:t>
      </w:r>
      <w:r w:rsidRPr="00D316FB">
        <w:rPr>
          <w:rFonts w:ascii="Book Antiqua" w:eastAsia="Calibri" w:hAnsi="Book Antiqua" w:cs="Times New Roman"/>
          <w:sz w:val="24"/>
          <w:szCs w:val="24"/>
          <w:vertAlign w:val="superscript"/>
          <w:lang w:val="en-GB"/>
        </w:rPr>
        <w:t>th</w:t>
      </w:r>
      <w:r>
        <w:rPr>
          <w:rFonts w:ascii="Book Antiqua" w:eastAsia="Calibri" w:hAnsi="Book Antiqua" w:cs="Times New Roman"/>
          <w:sz w:val="24"/>
          <w:szCs w:val="24"/>
          <w:lang w:val="en-GB"/>
        </w:rPr>
        <w:t xml:space="preserve"> May 2025. </w:t>
      </w:r>
    </w:p>
    <w:p w:rsidR="00D316FB" w:rsidRDefault="00D316FB" w:rsidP="008E02B6">
      <w:pPr>
        <w:spacing w:line="276" w:lineRule="auto"/>
        <w:jc w:val="both"/>
        <w:rPr>
          <w:rFonts w:ascii="Book Antiqua" w:eastAsia="Calibri" w:hAnsi="Book Antiqua" w:cs="Times New Roman"/>
          <w:sz w:val="24"/>
          <w:szCs w:val="24"/>
          <w:lang w:val="en-GB"/>
        </w:rPr>
      </w:pPr>
      <w:r>
        <w:rPr>
          <w:rFonts w:ascii="Book Antiqua" w:eastAsia="Calibri" w:hAnsi="Book Antiqua" w:cs="Times New Roman"/>
          <w:sz w:val="24"/>
          <w:szCs w:val="24"/>
          <w:lang w:val="en-GB"/>
        </w:rPr>
        <w:t xml:space="preserve">NEMA also developing an integrated information management system to report on volumes of e-waste introduced into the country. </w:t>
      </w:r>
    </w:p>
    <w:p w:rsidR="00D316FB" w:rsidRDefault="00D316FB" w:rsidP="008E02B6">
      <w:pPr>
        <w:spacing w:line="276" w:lineRule="auto"/>
        <w:jc w:val="both"/>
        <w:rPr>
          <w:rFonts w:ascii="Book Antiqua" w:eastAsia="Calibri" w:hAnsi="Book Antiqua" w:cs="Times New Roman"/>
          <w:sz w:val="24"/>
          <w:szCs w:val="24"/>
          <w:lang w:val="en-GB"/>
        </w:rPr>
      </w:pPr>
      <w:r>
        <w:rPr>
          <w:rFonts w:ascii="Book Antiqua" w:eastAsia="Calibri" w:hAnsi="Book Antiqua" w:cs="Times New Roman"/>
          <w:sz w:val="24"/>
          <w:szCs w:val="24"/>
          <w:lang w:val="en-GB"/>
        </w:rPr>
        <w:t xml:space="preserve"> </w:t>
      </w:r>
    </w:p>
    <w:p w:rsidR="00C56053" w:rsidRPr="00A47186" w:rsidRDefault="00C56053" w:rsidP="008E02B6">
      <w:pPr>
        <w:spacing w:line="276" w:lineRule="auto"/>
        <w:jc w:val="both"/>
        <w:rPr>
          <w:rFonts w:ascii="Book Antiqua" w:eastAsia="Calibri" w:hAnsi="Book Antiqua" w:cs="Times New Roman"/>
          <w:b/>
          <w:sz w:val="24"/>
          <w:szCs w:val="24"/>
          <w:lang w:val="en-GB"/>
        </w:rPr>
      </w:pPr>
      <w:r w:rsidRPr="00A47186">
        <w:rPr>
          <w:rFonts w:ascii="Book Antiqua" w:eastAsia="Calibri" w:hAnsi="Book Antiqua" w:cs="Times New Roman"/>
          <w:b/>
          <w:sz w:val="24"/>
          <w:szCs w:val="24"/>
          <w:lang w:val="en-GB"/>
        </w:rPr>
        <w:t>Conclusion</w:t>
      </w:r>
    </w:p>
    <w:p w:rsidR="00C56053" w:rsidRPr="000839D6" w:rsidRDefault="00C56053" w:rsidP="00C56053">
      <w:pPr>
        <w:pStyle w:val="ListParagraph"/>
        <w:numPr>
          <w:ilvl w:val="0"/>
          <w:numId w:val="23"/>
        </w:numPr>
        <w:tabs>
          <w:tab w:val="left" w:pos="1302"/>
        </w:tabs>
        <w:spacing w:line="276" w:lineRule="auto"/>
        <w:jc w:val="both"/>
        <w:rPr>
          <w:rFonts w:ascii="Book Antiqua" w:eastAsia="Times New Roman" w:hAnsi="Book Antiqua" w:cs="Calibri"/>
          <w:color w:val="222222"/>
          <w:sz w:val="24"/>
          <w:szCs w:val="24"/>
        </w:rPr>
      </w:pPr>
      <w:r w:rsidRPr="000839D6">
        <w:rPr>
          <w:rFonts w:ascii="Book Antiqua" w:eastAsia="Times New Roman" w:hAnsi="Book Antiqua" w:cs="Calibri"/>
          <w:color w:val="222222"/>
          <w:sz w:val="24"/>
          <w:szCs w:val="24"/>
          <w:lang w:val="en-GB"/>
        </w:rPr>
        <w:t>The current poor state of waste management is a threat to public health and environment</w:t>
      </w:r>
      <w:r>
        <w:rPr>
          <w:rFonts w:ascii="Book Antiqua" w:eastAsia="Times New Roman" w:hAnsi="Book Antiqua" w:cs="Calibri"/>
          <w:color w:val="222222"/>
          <w:sz w:val="24"/>
          <w:szCs w:val="24"/>
          <w:lang w:val="en-GB"/>
        </w:rPr>
        <w:t xml:space="preserve">, </w:t>
      </w:r>
      <w:r w:rsidRPr="000839D6">
        <w:rPr>
          <w:rFonts w:ascii="Book Antiqua" w:eastAsia="Times New Roman" w:hAnsi="Book Antiqua" w:cs="Calibri"/>
          <w:color w:val="222222"/>
          <w:sz w:val="24"/>
          <w:szCs w:val="24"/>
          <w:lang w:val="en-GB"/>
        </w:rPr>
        <w:t>loss of valuable resources for job and wealth creation, as well as an eyesore that negatively affects tourism and the wellbeing of all Kenyans.  </w:t>
      </w:r>
    </w:p>
    <w:p w:rsidR="00C56053" w:rsidRPr="000839D6" w:rsidRDefault="00C56053" w:rsidP="00C56053">
      <w:pPr>
        <w:pStyle w:val="ListParagraph"/>
        <w:numPr>
          <w:ilvl w:val="0"/>
          <w:numId w:val="23"/>
        </w:numPr>
        <w:shd w:val="clear" w:color="auto" w:fill="FFFFFF"/>
        <w:spacing w:after="0" w:line="276" w:lineRule="auto"/>
        <w:jc w:val="both"/>
        <w:rPr>
          <w:rFonts w:ascii="Book Antiqua" w:eastAsia="Times New Roman" w:hAnsi="Book Antiqua" w:cs="Calibri"/>
          <w:color w:val="222222"/>
          <w:sz w:val="24"/>
          <w:szCs w:val="24"/>
          <w:lang w:val="en-GB"/>
        </w:rPr>
      </w:pPr>
      <w:r w:rsidRPr="000839D6">
        <w:rPr>
          <w:rFonts w:ascii="Book Antiqua" w:eastAsia="Times New Roman" w:hAnsi="Book Antiqua" w:cs="Calibri"/>
          <w:color w:val="222222"/>
          <w:sz w:val="24"/>
          <w:szCs w:val="24"/>
          <w:lang w:val="en-GB"/>
        </w:rPr>
        <w:t>The EPR Regulation will advance Kenya towards a more sustainable and circular economy</w:t>
      </w:r>
      <w:r>
        <w:rPr>
          <w:rFonts w:ascii="Book Antiqua" w:eastAsia="Times New Roman" w:hAnsi="Book Antiqua" w:cs="Calibri"/>
          <w:color w:val="222222"/>
          <w:sz w:val="24"/>
          <w:szCs w:val="24"/>
          <w:lang w:val="en-GB"/>
        </w:rPr>
        <w:t xml:space="preserve"> as well as </w:t>
      </w:r>
      <w:r w:rsidRPr="000839D6">
        <w:rPr>
          <w:rFonts w:ascii="Book Antiqua" w:eastAsia="Times New Roman" w:hAnsi="Book Antiqua" w:cs="Calibri"/>
          <w:color w:val="222222"/>
          <w:sz w:val="24"/>
          <w:szCs w:val="24"/>
          <w:lang w:val="en-GB"/>
        </w:rPr>
        <w:t xml:space="preserve">the realization of the Zero Waste principle. </w:t>
      </w:r>
      <w:proofErr w:type="spellStart"/>
      <w:r w:rsidR="00EC4641">
        <w:rPr>
          <w:rFonts w:ascii="Book Antiqua" w:eastAsia="Times New Roman" w:hAnsi="Book Antiqua" w:cs="Calibri"/>
          <w:color w:val="222222"/>
          <w:sz w:val="24"/>
          <w:szCs w:val="24"/>
          <w:lang w:val="en-GB"/>
        </w:rPr>
        <w:t>po</w:t>
      </w:r>
      <w:proofErr w:type="spellEnd"/>
    </w:p>
    <w:p w:rsidR="00C56053" w:rsidRPr="000839D6" w:rsidRDefault="00C56053" w:rsidP="00C56053">
      <w:pPr>
        <w:pStyle w:val="ListParagraph"/>
        <w:numPr>
          <w:ilvl w:val="0"/>
          <w:numId w:val="23"/>
        </w:numPr>
        <w:shd w:val="clear" w:color="auto" w:fill="FFFFFF"/>
        <w:spacing w:after="0" w:line="276" w:lineRule="auto"/>
        <w:jc w:val="both"/>
        <w:rPr>
          <w:rFonts w:ascii="Book Antiqua" w:eastAsia="Times New Roman" w:hAnsi="Book Antiqua" w:cs="Calibri"/>
          <w:color w:val="222222"/>
          <w:sz w:val="24"/>
          <w:szCs w:val="24"/>
          <w:lang w:val="en-GB"/>
        </w:rPr>
      </w:pPr>
      <w:r>
        <w:rPr>
          <w:rFonts w:ascii="Book Antiqua" w:eastAsia="Times New Roman" w:hAnsi="Book Antiqua" w:cs="Calibri"/>
          <w:color w:val="222222"/>
          <w:sz w:val="24"/>
          <w:szCs w:val="24"/>
          <w:lang w:val="en-GB"/>
        </w:rPr>
        <w:t xml:space="preserve">It </w:t>
      </w:r>
      <w:r w:rsidRPr="000839D6">
        <w:rPr>
          <w:rFonts w:ascii="Book Antiqua" w:eastAsia="Times New Roman" w:hAnsi="Book Antiqua" w:cs="Calibri"/>
          <w:color w:val="222222"/>
          <w:sz w:val="24"/>
          <w:szCs w:val="24"/>
          <w:lang w:val="en-GB"/>
        </w:rPr>
        <w:t>ensure</w:t>
      </w:r>
      <w:r>
        <w:rPr>
          <w:rFonts w:ascii="Book Antiqua" w:eastAsia="Times New Roman" w:hAnsi="Book Antiqua" w:cs="Calibri"/>
          <w:color w:val="222222"/>
          <w:sz w:val="24"/>
          <w:szCs w:val="24"/>
          <w:lang w:val="en-GB"/>
        </w:rPr>
        <w:t>s</w:t>
      </w:r>
      <w:r w:rsidRPr="000839D6">
        <w:rPr>
          <w:rFonts w:ascii="Book Antiqua" w:eastAsia="Times New Roman" w:hAnsi="Book Antiqua" w:cs="Calibri"/>
          <w:color w:val="222222"/>
          <w:sz w:val="24"/>
          <w:szCs w:val="24"/>
          <w:lang w:val="en-GB"/>
        </w:rPr>
        <w:t xml:space="preserve"> that the producers of products and packaging take responsibility of their waste at post-consumer level. </w:t>
      </w:r>
    </w:p>
    <w:p w:rsidR="00C56053" w:rsidRPr="00C56053" w:rsidRDefault="00C56053" w:rsidP="00C56053">
      <w:pPr>
        <w:pStyle w:val="ListParagraph"/>
        <w:numPr>
          <w:ilvl w:val="0"/>
          <w:numId w:val="23"/>
        </w:numPr>
        <w:shd w:val="clear" w:color="auto" w:fill="FFFFFF"/>
        <w:spacing w:after="0" w:line="276" w:lineRule="auto"/>
        <w:jc w:val="both"/>
        <w:rPr>
          <w:rFonts w:ascii="Book Antiqua" w:eastAsia="Times New Roman" w:hAnsi="Book Antiqua" w:cs="Calibri"/>
          <w:color w:val="222222"/>
          <w:sz w:val="24"/>
          <w:szCs w:val="24"/>
          <w:lang w:val="en-GB"/>
        </w:rPr>
      </w:pPr>
      <w:r>
        <w:rPr>
          <w:rFonts w:ascii="Book Antiqua" w:eastAsia="Times New Roman" w:hAnsi="Book Antiqua" w:cs="Calibri"/>
          <w:color w:val="222222"/>
          <w:sz w:val="24"/>
          <w:szCs w:val="24"/>
          <w:lang w:val="en-GB"/>
        </w:rPr>
        <w:t xml:space="preserve">It </w:t>
      </w:r>
      <w:r w:rsidRPr="000839D6">
        <w:rPr>
          <w:rFonts w:ascii="Book Antiqua" w:eastAsia="Times New Roman" w:hAnsi="Book Antiqua" w:cs="Calibri"/>
          <w:color w:val="222222"/>
          <w:sz w:val="24"/>
          <w:szCs w:val="24"/>
          <w:lang w:val="en-GB"/>
        </w:rPr>
        <w:t>shift</w:t>
      </w:r>
      <w:r>
        <w:rPr>
          <w:rFonts w:ascii="Book Antiqua" w:eastAsia="Times New Roman" w:hAnsi="Book Antiqua" w:cs="Calibri"/>
          <w:color w:val="222222"/>
          <w:sz w:val="24"/>
          <w:szCs w:val="24"/>
          <w:lang w:val="en-GB"/>
        </w:rPr>
        <w:t>s</w:t>
      </w:r>
      <w:r w:rsidRPr="000839D6">
        <w:rPr>
          <w:rFonts w:ascii="Book Antiqua" w:eastAsia="Times New Roman" w:hAnsi="Book Antiqua" w:cs="Calibri"/>
          <w:color w:val="222222"/>
          <w:sz w:val="24"/>
          <w:szCs w:val="24"/>
          <w:lang w:val="en-GB"/>
        </w:rPr>
        <w:t xml:space="preserve"> financing for waste management from Counties to the producers of products and packaging, and this will ensure that appropriate waste management systems and technologies are put in place to assure reduced environmental pollution. </w:t>
      </w:r>
    </w:p>
    <w:p w:rsidR="00C56053" w:rsidRDefault="00C56053" w:rsidP="00C56053">
      <w:pPr>
        <w:pStyle w:val="ListParagraph"/>
        <w:numPr>
          <w:ilvl w:val="0"/>
          <w:numId w:val="23"/>
        </w:numPr>
        <w:spacing w:after="0" w:line="276" w:lineRule="auto"/>
        <w:jc w:val="both"/>
        <w:rPr>
          <w:rFonts w:ascii="Book Antiqua" w:eastAsia="Calibri" w:hAnsi="Book Antiqua" w:cs="Times New Roman"/>
          <w:sz w:val="24"/>
          <w:szCs w:val="24"/>
          <w:lang w:val="en-GB"/>
        </w:rPr>
      </w:pPr>
      <w:r w:rsidRPr="00C548B3">
        <w:rPr>
          <w:rFonts w:ascii="Book Antiqua" w:eastAsia="Calibri" w:hAnsi="Book Antiqua" w:cs="Times New Roman"/>
          <w:sz w:val="24"/>
          <w:szCs w:val="24"/>
          <w:lang w:val="en-GB"/>
        </w:rPr>
        <w:t>Implementation of EPR has commenced, producers and PROs have until 3</w:t>
      </w:r>
      <w:r w:rsidRPr="00C548B3">
        <w:rPr>
          <w:rFonts w:ascii="Book Antiqua" w:eastAsia="Calibri" w:hAnsi="Book Antiqua" w:cs="Times New Roman"/>
          <w:sz w:val="24"/>
          <w:szCs w:val="24"/>
          <w:vertAlign w:val="superscript"/>
          <w:lang w:val="en-GB"/>
        </w:rPr>
        <w:t>rd</w:t>
      </w:r>
      <w:r w:rsidRPr="00C548B3">
        <w:rPr>
          <w:rFonts w:ascii="Book Antiqua" w:eastAsia="Calibri" w:hAnsi="Book Antiqua" w:cs="Times New Roman"/>
          <w:sz w:val="24"/>
          <w:szCs w:val="24"/>
          <w:lang w:val="en-GB"/>
        </w:rPr>
        <w:t xml:space="preserve"> May to comply with the EPR regulations 2024. </w:t>
      </w:r>
    </w:p>
    <w:p w:rsidR="00B06EDC" w:rsidRDefault="00B06EDC" w:rsidP="00C56053">
      <w:pPr>
        <w:pStyle w:val="ListParagraph"/>
        <w:numPr>
          <w:ilvl w:val="0"/>
          <w:numId w:val="23"/>
        </w:numPr>
        <w:spacing w:after="0" w:line="276" w:lineRule="auto"/>
        <w:jc w:val="both"/>
        <w:rPr>
          <w:rFonts w:ascii="Book Antiqua" w:eastAsia="Calibri" w:hAnsi="Book Antiqua" w:cs="Times New Roman"/>
          <w:sz w:val="24"/>
          <w:szCs w:val="24"/>
          <w:lang w:val="en-GB"/>
        </w:rPr>
      </w:pPr>
      <w:r>
        <w:rPr>
          <w:rFonts w:ascii="Book Antiqua" w:eastAsia="Calibri" w:hAnsi="Book Antiqua" w:cs="Times New Roman"/>
          <w:sz w:val="24"/>
          <w:szCs w:val="24"/>
          <w:lang w:val="en-GB"/>
        </w:rPr>
        <w:t xml:space="preserve">As a leader in East Africa, we invite our </w:t>
      </w:r>
      <w:r w:rsidR="007B0C50">
        <w:rPr>
          <w:rFonts w:ascii="Book Antiqua" w:eastAsia="Calibri" w:hAnsi="Book Antiqua" w:cs="Times New Roman"/>
          <w:sz w:val="24"/>
          <w:szCs w:val="24"/>
          <w:lang w:val="en-GB"/>
        </w:rPr>
        <w:t>neighbours</w:t>
      </w:r>
      <w:r>
        <w:rPr>
          <w:rFonts w:ascii="Book Antiqua" w:eastAsia="Calibri" w:hAnsi="Book Antiqua" w:cs="Times New Roman"/>
          <w:sz w:val="24"/>
          <w:szCs w:val="24"/>
          <w:lang w:val="en-GB"/>
        </w:rPr>
        <w:t xml:space="preserve"> to strengthen partnership </w:t>
      </w:r>
      <w:r w:rsidR="007B0C50">
        <w:rPr>
          <w:rFonts w:ascii="Book Antiqua" w:eastAsia="Calibri" w:hAnsi="Book Antiqua" w:cs="Times New Roman"/>
          <w:sz w:val="24"/>
          <w:szCs w:val="24"/>
          <w:lang w:val="en-GB"/>
        </w:rPr>
        <w:t xml:space="preserve">in sharing experiences and innovations </w:t>
      </w:r>
      <w:r>
        <w:rPr>
          <w:rFonts w:ascii="Book Antiqua" w:eastAsia="Calibri" w:hAnsi="Book Antiqua" w:cs="Times New Roman"/>
          <w:sz w:val="24"/>
          <w:szCs w:val="24"/>
          <w:lang w:val="en-GB"/>
        </w:rPr>
        <w:t>to address the e</w:t>
      </w:r>
      <w:r w:rsidR="007B0C50">
        <w:rPr>
          <w:rFonts w:ascii="Book Antiqua" w:eastAsia="Calibri" w:hAnsi="Book Antiqua" w:cs="Times New Roman"/>
          <w:sz w:val="24"/>
          <w:szCs w:val="24"/>
          <w:lang w:val="en-GB"/>
        </w:rPr>
        <w:t>-</w:t>
      </w:r>
      <w:r>
        <w:rPr>
          <w:rFonts w:ascii="Book Antiqua" w:eastAsia="Calibri" w:hAnsi="Book Antiqua" w:cs="Times New Roman"/>
          <w:sz w:val="24"/>
          <w:szCs w:val="24"/>
          <w:lang w:val="en-GB"/>
        </w:rPr>
        <w:t>waste menace</w:t>
      </w:r>
      <w:r w:rsidR="007B0C50">
        <w:rPr>
          <w:rFonts w:ascii="Book Antiqua" w:eastAsia="Calibri" w:hAnsi="Book Antiqua" w:cs="Times New Roman"/>
          <w:sz w:val="24"/>
          <w:szCs w:val="24"/>
          <w:lang w:val="en-GB"/>
        </w:rPr>
        <w:t xml:space="preserve"> in the region</w:t>
      </w:r>
      <w:r>
        <w:rPr>
          <w:rFonts w:ascii="Book Antiqua" w:eastAsia="Calibri" w:hAnsi="Book Antiqua" w:cs="Times New Roman"/>
          <w:sz w:val="24"/>
          <w:szCs w:val="24"/>
          <w:lang w:val="en-GB"/>
        </w:rPr>
        <w:t>.</w:t>
      </w:r>
    </w:p>
    <w:p w:rsidR="00C56053" w:rsidRDefault="00C56053" w:rsidP="00C56053">
      <w:pPr>
        <w:spacing w:after="0" w:line="276" w:lineRule="auto"/>
        <w:jc w:val="both"/>
        <w:rPr>
          <w:rFonts w:ascii="Book Antiqua" w:eastAsia="Calibri" w:hAnsi="Book Antiqua" w:cs="Times New Roman"/>
          <w:sz w:val="24"/>
          <w:szCs w:val="24"/>
          <w:lang w:val="en-GB"/>
        </w:rPr>
      </w:pPr>
    </w:p>
    <w:p w:rsidR="00C56053" w:rsidRDefault="00C56053" w:rsidP="00C56053">
      <w:pPr>
        <w:spacing w:after="0" w:line="276" w:lineRule="auto"/>
        <w:jc w:val="both"/>
        <w:rPr>
          <w:rFonts w:ascii="Book Antiqua" w:eastAsia="Calibri" w:hAnsi="Book Antiqua" w:cs="Times New Roman"/>
          <w:sz w:val="24"/>
          <w:szCs w:val="24"/>
          <w:lang w:val="en-GB"/>
        </w:rPr>
      </w:pPr>
      <w:r>
        <w:rPr>
          <w:rFonts w:ascii="Book Antiqua" w:eastAsia="Calibri" w:hAnsi="Book Antiqua" w:cs="Times New Roman"/>
          <w:sz w:val="24"/>
          <w:szCs w:val="24"/>
          <w:lang w:val="en-GB"/>
        </w:rPr>
        <w:t>End</w:t>
      </w:r>
    </w:p>
    <w:p w:rsidR="002F047A" w:rsidRPr="000839D6" w:rsidRDefault="002F047A" w:rsidP="00C5669C">
      <w:pPr>
        <w:spacing w:line="276" w:lineRule="auto"/>
        <w:rPr>
          <w:rFonts w:ascii="Book Antiqua" w:hAnsi="Book Antiqua"/>
        </w:rPr>
      </w:pPr>
    </w:p>
    <w:sectPr w:rsidR="002F047A" w:rsidRPr="000839D6" w:rsidSect="00C5669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B6E" w:rsidRDefault="00FF6B6E" w:rsidP="000839D6">
      <w:pPr>
        <w:spacing w:after="0" w:line="240" w:lineRule="auto"/>
      </w:pPr>
      <w:r>
        <w:separator/>
      </w:r>
    </w:p>
  </w:endnote>
  <w:endnote w:type="continuationSeparator" w:id="0">
    <w:p w:rsidR="00FF6B6E" w:rsidRDefault="00FF6B6E" w:rsidP="00083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Liberation Serif">
    <w:altName w:val="Times New Roman"/>
    <w:charset w:val="01"/>
    <w:family w:val="roman"/>
    <w:pitch w:val="variable"/>
  </w:font>
  <w:font w:name="WenQuanYi Micro Hei">
    <w:charset w:val="01"/>
    <w:family w:val="auto"/>
    <w:pitch w:val="variable"/>
  </w:font>
  <w:font w:name="Lohit Devanagari">
    <w:altName w:val="Times New Roman"/>
    <w:charset w:val="01"/>
    <w:family w:val="auto"/>
    <w:pitch w:val="variable"/>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9D6" w:rsidRPr="002B5C63" w:rsidRDefault="000839D6">
    <w:pPr>
      <w:pStyle w:val="Foo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B6E" w:rsidRDefault="00FF6B6E" w:rsidP="000839D6">
      <w:pPr>
        <w:spacing w:after="0" w:line="240" w:lineRule="auto"/>
      </w:pPr>
      <w:r>
        <w:separator/>
      </w:r>
    </w:p>
  </w:footnote>
  <w:footnote w:type="continuationSeparator" w:id="0">
    <w:p w:rsidR="00FF6B6E" w:rsidRDefault="00FF6B6E" w:rsidP="000839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83A73"/>
    <w:multiLevelType w:val="hybridMultilevel"/>
    <w:tmpl w:val="41EC58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6443A5"/>
    <w:multiLevelType w:val="hybridMultilevel"/>
    <w:tmpl w:val="9572A848"/>
    <w:lvl w:ilvl="0" w:tplc="7E585BE6">
      <w:start w:val="8"/>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101B1E0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08042BB"/>
    <w:multiLevelType w:val="hybridMultilevel"/>
    <w:tmpl w:val="A586888A"/>
    <w:lvl w:ilvl="0" w:tplc="529804EC">
      <w:start w:val="1"/>
      <w:numFmt w:val="upperRoman"/>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1E991675"/>
    <w:multiLevelType w:val="hybridMultilevel"/>
    <w:tmpl w:val="0B16C94C"/>
    <w:lvl w:ilvl="0" w:tplc="F7A666C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1F9C64A5"/>
    <w:multiLevelType w:val="hybridMultilevel"/>
    <w:tmpl w:val="EA206C84"/>
    <w:lvl w:ilvl="0" w:tplc="20000013">
      <w:start w:val="1"/>
      <w:numFmt w:val="upperRoman"/>
      <w:lvlText w:val="%1."/>
      <w:lvlJc w:val="righ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22BB162B"/>
    <w:multiLevelType w:val="hybridMultilevel"/>
    <w:tmpl w:val="648A7BBC"/>
    <w:lvl w:ilvl="0" w:tplc="04090017">
      <w:start w:val="1"/>
      <w:numFmt w:val="lowerLetter"/>
      <w:lvlText w:val="%1)"/>
      <w:lvlJc w:val="left"/>
      <w:pPr>
        <w:ind w:left="720" w:hanging="360"/>
      </w:pPr>
      <w:rPr>
        <w:b w:val="0"/>
      </w:rPr>
    </w:lvl>
    <w:lvl w:ilvl="1" w:tplc="5D18FEE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610B06"/>
    <w:multiLevelType w:val="hybridMultilevel"/>
    <w:tmpl w:val="37E8379A"/>
    <w:lvl w:ilvl="0" w:tplc="04090017">
      <w:start w:val="1"/>
      <w:numFmt w:val="low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nsid w:val="2C5C0D8F"/>
    <w:multiLevelType w:val="hybridMultilevel"/>
    <w:tmpl w:val="8B4C8C92"/>
    <w:lvl w:ilvl="0" w:tplc="DB249E74">
      <w:start w:val="1"/>
      <w:numFmt w:val="decimal"/>
      <w:lvlText w:val="%1."/>
      <w:lvlJc w:val="left"/>
      <w:pPr>
        <w:ind w:left="720" w:hanging="360"/>
      </w:pPr>
      <w:rPr>
        <w:b w:val="0"/>
      </w:rPr>
    </w:lvl>
    <w:lvl w:ilvl="1" w:tplc="5D18FEE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72447B"/>
    <w:multiLevelType w:val="multilevel"/>
    <w:tmpl w:val="EEBAD6F6"/>
    <w:lvl w:ilvl="0">
      <w:start w:val="1"/>
      <w:numFmt w:val="decimal"/>
      <w:lvlText w:val="%1."/>
      <w:lvlJc w:val="left"/>
      <w:pPr>
        <w:ind w:left="360" w:hanging="360"/>
      </w:pPr>
      <w:rPr>
        <w:b/>
        <w:bCs/>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D0310F0"/>
    <w:multiLevelType w:val="hybridMultilevel"/>
    <w:tmpl w:val="EA206C84"/>
    <w:lvl w:ilvl="0" w:tplc="20000013">
      <w:start w:val="1"/>
      <w:numFmt w:val="upperRoman"/>
      <w:lvlText w:val="%1."/>
      <w:lvlJc w:val="righ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nsid w:val="30160593"/>
    <w:multiLevelType w:val="hybridMultilevel"/>
    <w:tmpl w:val="189C5D3C"/>
    <w:lvl w:ilvl="0" w:tplc="7E585BE6">
      <w:start w:val="8"/>
      <w:numFmt w:val="bullet"/>
      <w:lvlText w:val="-"/>
      <w:lvlJc w:val="left"/>
      <w:pPr>
        <w:ind w:left="1440" w:hanging="360"/>
      </w:pPr>
      <w:rPr>
        <w:rFonts w:ascii="Times New Roman" w:eastAsia="Times New Roman" w:hAnsi="Times New Roman" w:cs="Times New Roman"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2">
    <w:nsid w:val="437D4DCF"/>
    <w:multiLevelType w:val="hybridMultilevel"/>
    <w:tmpl w:val="DE2A6F20"/>
    <w:lvl w:ilvl="0" w:tplc="C0CCD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E072EF"/>
    <w:multiLevelType w:val="hybridMultilevel"/>
    <w:tmpl w:val="0F242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C965C5"/>
    <w:multiLevelType w:val="hybridMultilevel"/>
    <w:tmpl w:val="EFB0EC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55128F"/>
    <w:multiLevelType w:val="hybridMultilevel"/>
    <w:tmpl w:val="5D0AE5F0"/>
    <w:lvl w:ilvl="0" w:tplc="7E585BE6">
      <w:start w:val="8"/>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nsid w:val="52E555C9"/>
    <w:multiLevelType w:val="hybridMultilevel"/>
    <w:tmpl w:val="A50070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E85BBE"/>
    <w:multiLevelType w:val="hybridMultilevel"/>
    <w:tmpl w:val="8C422B18"/>
    <w:lvl w:ilvl="0" w:tplc="0409000F">
      <w:start w:val="1"/>
      <w:numFmt w:val="decimal"/>
      <w:lvlText w:val="%1."/>
      <w:lvlJc w:val="left"/>
      <w:pPr>
        <w:tabs>
          <w:tab w:val="num" w:pos="720"/>
        </w:tabs>
        <w:ind w:left="720" w:hanging="360"/>
      </w:pPr>
      <w:rPr>
        <w:rFonts w:hint="default"/>
      </w:rPr>
    </w:lvl>
    <w:lvl w:ilvl="1" w:tplc="0CB82E1E" w:tentative="1">
      <w:start w:val="1"/>
      <w:numFmt w:val="bullet"/>
      <w:lvlText w:val="•"/>
      <w:lvlJc w:val="left"/>
      <w:pPr>
        <w:tabs>
          <w:tab w:val="num" w:pos="1440"/>
        </w:tabs>
        <w:ind w:left="1440" w:hanging="360"/>
      </w:pPr>
      <w:rPr>
        <w:rFonts w:ascii="Arial" w:hAnsi="Arial" w:hint="default"/>
      </w:rPr>
    </w:lvl>
    <w:lvl w:ilvl="2" w:tplc="9E3614F0" w:tentative="1">
      <w:start w:val="1"/>
      <w:numFmt w:val="bullet"/>
      <w:lvlText w:val="•"/>
      <w:lvlJc w:val="left"/>
      <w:pPr>
        <w:tabs>
          <w:tab w:val="num" w:pos="2160"/>
        </w:tabs>
        <w:ind w:left="2160" w:hanging="360"/>
      </w:pPr>
      <w:rPr>
        <w:rFonts w:ascii="Arial" w:hAnsi="Arial" w:hint="default"/>
      </w:rPr>
    </w:lvl>
    <w:lvl w:ilvl="3" w:tplc="ACDCEC26" w:tentative="1">
      <w:start w:val="1"/>
      <w:numFmt w:val="bullet"/>
      <w:lvlText w:val="•"/>
      <w:lvlJc w:val="left"/>
      <w:pPr>
        <w:tabs>
          <w:tab w:val="num" w:pos="2880"/>
        </w:tabs>
        <w:ind w:left="2880" w:hanging="360"/>
      </w:pPr>
      <w:rPr>
        <w:rFonts w:ascii="Arial" w:hAnsi="Arial" w:hint="default"/>
      </w:rPr>
    </w:lvl>
    <w:lvl w:ilvl="4" w:tplc="102602F8" w:tentative="1">
      <w:start w:val="1"/>
      <w:numFmt w:val="bullet"/>
      <w:lvlText w:val="•"/>
      <w:lvlJc w:val="left"/>
      <w:pPr>
        <w:tabs>
          <w:tab w:val="num" w:pos="3600"/>
        </w:tabs>
        <w:ind w:left="3600" w:hanging="360"/>
      </w:pPr>
      <w:rPr>
        <w:rFonts w:ascii="Arial" w:hAnsi="Arial" w:hint="default"/>
      </w:rPr>
    </w:lvl>
    <w:lvl w:ilvl="5" w:tplc="67A22216" w:tentative="1">
      <w:start w:val="1"/>
      <w:numFmt w:val="bullet"/>
      <w:lvlText w:val="•"/>
      <w:lvlJc w:val="left"/>
      <w:pPr>
        <w:tabs>
          <w:tab w:val="num" w:pos="4320"/>
        </w:tabs>
        <w:ind w:left="4320" w:hanging="360"/>
      </w:pPr>
      <w:rPr>
        <w:rFonts w:ascii="Arial" w:hAnsi="Arial" w:hint="default"/>
      </w:rPr>
    </w:lvl>
    <w:lvl w:ilvl="6" w:tplc="3198F898" w:tentative="1">
      <w:start w:val="1"/>
      <w:numFmt w:val="bullet"/>
      <w:lvlText w:val="•"/>
      <w:lvlJc w:val="left"/>
      <w:pPr>
        <w:tabs>
          <w:tab w:val="num" w:pos="5040"/>
        </w:tabs>
        <w:ind w:left="5040" w:hanging="360"/>
      </w:pPr>
      <w:rPr>
        <w:rFonts w:ascii="Arial" w:hAnsi="Arial" w:hint="default"/>
      </w:rPr>
    </w:lvl>
    <w:lvl w:ilvl="7" w:tplc="72A6E0BA" w:tentative="1">
      <w:start w:val="1"/>
      <w:numFmt w:val="bullet"/>
      <w:lvlText w:val="•"/>
      <w:lvlJc w:val="left"/>
      <w:pPr>
        <w:tabs>
          <w:tab w:val="num" w:pos="5760"/>
        </w:tabs>
        <w:ind w:left="5760" w:hanging="360"/>
      </w:pPr>
      <w:rPr>
        <w:rFonts w:ascii="Arial" w:hAnsi="Arial" w:hint="default"/>
      </w:rPr>
    </w:lvl>
    <w:lvl w:ilvl="8" w:tplc="BA3AB494" w:tentative="1">
      <w:start w:val="1"/>
      <w:numFmt w:val="bullet"/>
      <w:lvlText w:val="•"/>
      <w:lvlJc w:val="left"/>
      <w:pPr>
        <w:tabs>
          <w:tab w:val="num" w:pos="6480"/>
        </w:tabs>
        <w:ind w:left="6480" w:hanging="360"/>
      </w:pPr>
      <w:rPr>
        <w:rFonts w:ascii="Arial" w:hAnsi="Arial" w:hint="default"/>
      </w:rPr>
    </w:lvl>
  </w:abstractNum>
  <w:abstractNum w:abstractNumId="18">
    <w:nsid w:val="566073AE"/>
    <w:multiLevelType w:val="hybridMultilevel"/>
    <w:tmpl w:val="6B76E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D32825"/>
    <w:multiLevelType w:val="hybridMultilevel"/>
    <w:tmpl w:val="EA206C84"/>
    <w:lvl w:ilvl="0" w:tplc="20000013">
      <w:start w:val="1"/>
      <w:numFmt w:val="upperRoman"/>
      <w:lvlText w:val="%1."/>
      <w:lvlJc w:val="righ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nsid w:val="68386B18"/>
    <w:multiLevelType w:val="hybridMultilevel"/>
    <w:tmpl w:val="9D2E9ABC"/>
    <w:lvl w:ilvl="0" w:tplc="04090013">
      <w:start w:val="1"/>
      <w:numFmt w:val="upp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nsid w:val="70635E1B"/>
    <w:multiLevelType w:val="hybridMultilevel"/>
    <w:tmpl w:val="B972CE12"/>
    <w:lvl w:ilvl="0" w:tplc="5AFCE898">
      <w:start w:val="1"/>
      <w:numFmt w:val="lowerLetter"/>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52E295B"/>
    <w:multiLevelType w:val="hybridMultilevel"/>
    <w:tmpl w:val="9B2A0C8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F622D7"/>
    <w:multiLevelType w:val="hybridMultilevel"/>
    <w:tmpl w:val="EA206C84"/>
    <w:lvl w:ilvl="0" w:tplc="20000013">
      <w:start w:val="1"/>
      <w:numFmt w:val="upperRoman"/>
      <w:lvlText w:val="%1."/>
      <w:lvlJc w:val="righ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nsid w:val="79807AA8"/>
    <w:multiLevelType w:val="hybridMultilevel"/>
    <w:tmpl w:val="AE64C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6"/>
  </w:num>
  <w:num w:numId="3">
    <w:abstractNumId w:val="18"/>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0"/>
  </w:num>
  <w:num w:numId="8">
    <w:abstractNumId w:val="4"/>
  </w:num>
  <w:num w:numId="9">
    <w:abstractNumId w:val="11"/>
  </w:num>
  <w:num w:numId="10">
    <w:abstractNumId w:val="5"/>
  </w:num>
  <w:num w:numId="11">
    <w:abstractNumId w:val="1"/>
  </w:num>
  <w:num w:numId="12">
    <w:abstractNumId w:val="15"/>
  </w:num>
  <w:num w:numId="13">
    <w:abstractNumId w:val="3"/>
  </w:num>
  <w:num w:numId="14">
    <w:abstractNumId w:val="19"/>
  </w:num>
  <w:num w:numId="15">
    <w:abstractNumId w:val="23"/>
  </w:num>
  <w:num w:numId="16">
    <w:abstractNumId w:val="20"/>
  </w:num>
  <w:num w:numId="17">
    <w:abstractNumId w:val="22"/>
  </w:num>
  <w:num w:numId="18">
    <w:abstractNumId w:val="21"/>
  </w:num>
  <w:num w:numId="19">
    <w:abstractNumId w:val="0"/>
  </w:num>
  <w:num w:numId="20">
    <w:abstractNumId w:val="14"/>
  </w:num>
  <w:num w:numId="21">
    <w:abstractNumId w:val="13"/>
  </w:num>
  <w:num w:numId="22">
    <w:abstractNumId w:val="24"/>
  </w:num>
  <w:num w:numId="23">
    <w:abstractNumId w:val="6"/>
  </w:num>
  <w:num w:numId="24">
    <w:abstractNumId w:val="7"/>
  </w:num>
  <w:num w:numId="25">
    <w:abstractNumId w:val="1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C6B"/>
    <w:rsid w:val="00012CA6"/>
    <w:rsid w:val="00034E30"/>
    <w:rsid w:val="00051577"/>
    <w:rsid w:val="0005763D"/>
    <w:rsid w:val="00080534"/>
    <w:rsid w:val="000839D6"/>
    <w:rsid w:val="000E4619"/>
    <w:rsid w:val="00117AE4"/>
    <w:rsid w:val="00133AC2"/>
    <w:rsid w:val="001A5853"/>
    <w:rsid w:val="001E3147"/>
    <w:rsid w:val="002B5C63"/>
    <w:rsid w:val="002D75F5"/>
    <w:rsid w:val="002F047A"/>
    <w:rsid w:val="003300D8"/>
    <w:rsid w:val="003327F7"/>
    <w:rsid w:val="0038056E"/>
    <w:rsid w:val="00392093"/>
    <w:rsid w:val="00393A2B"/>
    <w:rsid w:val="003A4BB1"/>
    <w:rsid w:val="003B2523"/>
    <w:rsid w:val="003F1E07"/>
    <w:rsid w:val="00412360"/>
    <w:rsid w:val="00472B76"/>
    <w:rsid w:val="00476A10"/>
    <w:rsid w:val="00593C3E"/>
    <w:rsid w:val="0060329E"/>
    <w:rsid w:val="006450EB"/>
    <w:rsid w:val="006A5BCE"/>
    <w:rsid w:val="006B15D6"/>
    <w:rsid w:val="006C7E68"/>
    <w:rsid w:val="006D1071"/>
    <w:rsid w:val="006D2F9F"/>
    <w:rsid w:val="006D7B48"/>
    <w:rsid w:val="00701C50"/>
    <w:rsid w:val="0070688B"/>
    <w:rsid w:val="00745C6B"/>
    <w:rsid w:val="00773A0B"/>
    <w:rsid w:val="007B0C50"/>
    <w:rsid w:val="007D6907"/>
    <w:rsid w:val="008242C0"/>
    <w:rsid w:val="0083492A"/>
    <w:rsid w:val="008E02B6"/>
    <w:rsid w:val="008E50E8"/>
    <w:rsid w:val="0093389A"/>
    <w:rsid w:val="00945CDC"/>
    <w:rsid w:val="00950053"/>
    <w:rsid w:val="00954A1F"/>
    <w:rsid w:val="00954F84"/>
    <w:rsid w:val="0098197F"/>
    <w:rsid w:val="0099160A"/>
    <w:rsid w:val="00A13FAA"/>
    <w:rsid w:val="00A17BEC"/>
    <w:rsid w:val="00A26F53"/>
    <w:rsid w:val="00A47186"/>
    <w:rsid w:val="00A802FA"/>
    <w:rsid w:val="00A80F30"/>
    <w:rsid w:val="00AB2024"/>
    <w:rsid w:val="00AB6D0F"/>
    <w:rsid w:val="00AC2D4F"/>
    <w:rsid w:val="00B06EDC"/>
    <w:rsid w:val="00B562C6"/>
    <w:rsid w:val="00B76972"/>
    <w:rsid w:val="00B804F9"/>
    <w:rsid w:val="00BC3035"/>
    <w:rsid w:val="00BC5B9E"/>
    <w:rsid w:val="00BD6797"/>
    <w:rsid w:val="00BD7B0C"/>
    <w:rsid w:val="00BF1A02"/>
    <w:rsid w:val="00C548B3"/>
    <w:rsid w:val="00C56053"/>
    <w:rsid w:val="00C5669C"/>
    <w:rsid w:val="00C64137"/>
    <w:rsid w:val="00C655A3"/>
    <w:rsid w:val="00C95A79"/>
    <w:rsid w:val="00D316FB"/>
    <w:rsid w:val="00D60DD5"/>
    <w:rsid w:val="00D60E56"/>
    <w:rsid w:val="00D87785"/>
    <w:rsid w:val="00D90241"/>
    <w:rsid w:val="00D91BF5"/>
    <w:rsid w:val="00DC233B"/>
    <w:rsid w:val="00DF1530"/>
    <w:rsid w:val="00E12335"/>
    <w:rsid w:val="00E17524"/>
    <w:rsid w:val="00E27339"/>
    <w:rsid w:val="00E702D9"/>
    <w:rsid w:val="00E71407"/>
    <w:rsid w:val="00EA210D"/>
    <w:rsid w:val="00EB4716"/>
    <w:rsid w:val="00EC4641"/>
    <w:rsid w:val="00EF7022"/>
    <w:rsid w:val="00F43378"/>
    <w:rsid w:val="00F73167"/>
    <w:rsid w:val="00F81C4B"/>
    <w:rsid w:val="00FA4322"/>
    <w:rsid w:val="00FF6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08FD00-6BEE-44E6-884F-F94F1ACDD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76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63D"/>
    <w:rPr>
      <w:rFonts w:ascii="Segoe UI" w:hAnsi="Segoe UI" w:cs="Segoe UI"/>
      <w:sz w:val="18"/>
      <w:szCs w:val="18"/>
    </w:rPr>
  </w:style>
  <w:style w:type="paragraph" w:styleId="ListParagraph">
    <w:name w:val="List Paragraph"/>
    <w:basedOn w:val="Normal"/>
    <w:uiPriority w:val="34"/>
    <w:unhideWhenUsed/>
    <w:qFormat/>
    <w:rsid w:val="002F047A"/>
    <w:pPr>
      <w:spacing w:before="120" w:after="200" w:line="264" w:lineRule="auto"/>
      <w:ind w:left="720"/>
      <w:contextualSpacing/>
    </w:pPr>
    <w:rPr>
      <w:rFonts w:eastAsiaTheme="minorEastAsia"/>
      <w:lang w:eastAsia="ja-JP"/>
    </w:rPr>
  </w:style>
  <w:style w:type="paragraph" w:styleId="Header">
    <w:name w:val="header"/>
    <w:basedOn w:val="Normal"/>
    <w:link w:val="HeaderChar"/>
    <w:uiPriority w:val="99"/>
    <w:unhideWhenUsed/>
    <w:rsid w:val="00083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9D6"/>
  </w:style>
  <w:style w:type="paragraph" w:styleId="Footer">
    <w:name w:val="footer"/>
    <w:basedOn w:val="Normal"/>
    <w:link w:val="FooterChar"/>
    <w:uiPriority w:val="99"/>
    <w:unhideWhenUsed/>
    <w:rsid w:val="00083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9D6"/>
  </w:style>
  <w:style w:type="character" w:customStyle="1" w:styleId="fontstyle01">
    <w:name w:val="fontstyle01"/>
    <w:basedOn w:val="DefaultParagraphFont"/>
    <w:rsid w:val="00593C3E"/>
    <w:rPr>
      <w:rFonts w:ascii="TimesNewRomanPS-BoldMT" w:hAnsi="TimesNewRomanPS-BoldMT" w:hint="default"/>
      <w:b/>
      <w:bCs/>
      <w:i w:val="0"/>
      <w:iCs w:val="0"/>
      <w:color w:val="000000"/>
      <w:sz w:val="24"/>
      <w:szCs w:val="24"/>
    </w:rPr>
  </w:style>
  <w:style w:type="paragraph" w:customStyle="1" w:styleId="m-3056468207492978354msoplaintext">
    <w:name w:val="m_-3056468207492978354msoplaintext"/>
    <w:basedOn w:val="Normal"/>
    <w:rsid w:val="006D2F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056468207492978354msolistparagraph">
    <w:name w:val="m_-3056468207492978354msolistparagraph"/>
    <w:basedOn w:val="Normal"/>
    <w:rsid w:val="006D2F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qFormat/>
    <w:rsid w:val="008E02B6"/>
    <w:rPr>
      <w:rFonts w:ascii="Liberation Serif" w:eastAsia="WenQuanYi Micro Hei" w:hAnsi="Liberation Serif" w:cs="Lohit Devanagari"/>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32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4</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Anastacia V. Mumbua</dc:creator>
  <cp:keywords/>
  <dc:description/>
  <cp:lastModifiedBy>Microsoft account</cp:lastModifiedBy>
  <cp:revision>6</cp:revision>
  <cp:lastPrinted>2021-07-08T11:11:00Z</cp:lastPrinted>
  <dcterms:created xsi:type="dcterms:W3CDTF">2025-03-24T04:54:00Z</dcterms:created>
  <dcterms:modified xsi:type="dcterms:W3CDTF">2025-03-24T09:51:00Z</dcterms:modified>
</cp:coreProperties>
</file>